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179D" w:rsidRPr="0001465F" w:rsidRDefault="006E179D" w:rsidP="006E179D">
      <w:pPr>
        <w:rPr>
          <w:rFonts w:ascii="Times New Roman" w:eastAsia="Times New Roman" w:hAnsi="Times New Roman" w:cs="Times New Roman"/>
          <w:color w:val="000000"/>
          <w:sz w:val="24"/>
          <w:szCs w:val="24"/>
          <w:lang w:eastAsia="uk-UA"/>
        </w:rPr>
      </w:pPr>
      <w:r>
        <w:t xml:space="preserve">                                                                                                                                                </w:t>
      </w:r>
      <w:r>
        <w:rPr>
          <w:rFonts w:ascii="Times New Roman" w:eastAsia="Times New Roman" w:hAnsi="Times New Roman" w:cs="Times New Roman"/>
          <w:color w:val="000000"/>
          <w:sz w:val="24"/>
          <w:szCs w:val="24"/>
          <w:lang w:eastAsia="uk-UA"/>
        </w:rPr>
        <w:t>Додаток 1</w:t>
      </w:r>
      <w:r w:rsidRPr="0001465F">
        <w:rPr>
          <w:rFonts w:ascii="Times New Roman" w:eastAsia="Times New Roman" w:hAnsi="Times New Roman" w:cs="Times New Roman"/>
          <w:color w:val="000000"/>
          <w:sz w:val="24"/>
          <w:szCs w:val="24"/>
          <w:lang w:eastAsia="uk-UA"/>
        </w:rPr>
        <w:t xml:space="preserve"> до протоколу </w:t>
      </w:r>
    </w:p>
    <w:p w:rsidR="006E179D" w:rsidRPr="0001465F" w:rsidRDefault="006E179D" w:rsidP="006E179D">
      <w:pPr>
        <w:spacing w:after="0"/>
        <w:jc w:val="right"/>
        <w:rPr>
          <w:rFonts w:ascii="Times New Roman" w:eastAsia="Times New Roman" w:hAnsi="Times New Roman" w:cs="Times New Roman"/>
          <w:color w:val="000000"/>
          <w:sz w:val="24"/>
          <w:szCs w:val="24"/>
          <w:lang w:eastAsia="uk-UA"/>
        </w:rPr>
      </w:pPr>
      <w:r w:rsidRPr="0001465F">
        <w:rPr>
          <w:rFonts w:ascii="Times New Roman" w:eastAsia="Times New Roman" w:hAnsi="Times New Roman" w:cs="Times New Roman"/>
          <w:color w:val="000000"/>
          <w:sz w:val="24"/>
          <w:szCs w:val="24"/>
          <w:lang w:eastAsia="uk-UA"/>
        </w:rPr>
        <w:t xml:space="preserve">тендерного комітету № </w:t>
      </w:r>
      <w:r>
        <w:rPr>
          <w:rFonts w:ascii="Times New Roman" w:eastAsia="Times New Roman" w:hAnsi="Times New Roman" w:cs="Times New Roman"/>
          <w:color w:val="000000"/>
          <w:sz w:val="24"/>
          <w:szCs w:val="24"/>
          <w:lang w:eastAsia="uk-UA"/>
        </w:rPr>
        <w:t>81-22</w:t>
      </w:r>
      <w:r w:rsidRPr="0001465F">
        <w:rPr>
          <w:rFonts w:ascii="Times New Roman" w:eastAsia="Times New Roman" w:hAnsi="Times New Roman" w:cs="Times New Roman"/>
          <w:color w:val="000000"/>
          <w:sz w:val="24"/>
          <w:szCs w:val="24"/>
          <w:lang w:eastAsia="uk-UA"/>
        </w:rPr>
        <w:t xml:space="preserve"> від </w:t>
      </w:r>
    </w:p>
    <w:p w:rsidR="006E179D" w:rsidRPr="0001465F" w:rsidRDefault="006E179D" w:rsidP="006E179D">
      <w:pPr>
        <w:jc w:val="right"/>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09 листопада 2022</w:t>
      </w:r>
      <w:r w:rsidRPr="0001465F">
        <w:rPr>
          <w:rFonts w:ascii="Times New Roman" w:eastAsia="Times New Roman" w:hAnsi="Times New Roman" w:cs="Times New Roman"/>
          <w:color w:val="000000"/>
          <w:sz w:val="24"/>
          <w:szCs w:val="24"/>
          <w:lang w:eastAsia="uk-UA"/>
        </w:rPr>
        <w:t xml:space="preserve"> року</w:t>
      </w:r>
    </w:p>
    <w:p w:rsidR="006E179D" w:rsidRPr="0001465F" w:rsidRDefault="006E179D" w:rsidP="006E179D">
      <w:pPr>
        <w:jc w:val="right"/>
        <w:rPr>
          <w:rFonts w:ascii="Times New Roman" w:eastAsia="Times New Roman" w:hAnsi="Times New Roman" w:cs="Times New Roman"/>
          <w:color w:val="000000"/>
          <w:sz w:val="24"/>
          <w:szCs w:val="24"/>
          <w:lang w:eastAsia="uk-UA"/>
        </w:rPr>
      </w:pPr>
    </w:p>
    <w:p w:rsidR="006E179D" w:rsidRDefault="006E179D" w:rsidP="006E179D">
      <w:pPr>
        <w:jc w:val="center"/>
        <w:rPr>
          <w:rFonts w:ascii="Times New Roman" w:eastAsia="Times New Roman" w:hAnsi="Times New Roman" w:cs="Times New Roman"/>
          <w:b/>
          <w:color w:val="000000"/>
          <w:sz w:val="24"/>
          <w:szCs w:val="24"/>
          <w:lang w:eastAsia="uk-UA"/>
        </w:rPr>
      </w:pPr>
      <w:r w:rsidRPr="00923D5F">
        <w:rPr>
          <w:rFonts w:ascii="Times New Roman" w:eastAsia="Times New Roman" w:hAnsi="Times New Roman" w:cs="Times New Roman"/>
          <w:b/>
          <w:color w:val="000000"/>
          <w:sz w:val="24"/>
          <w:szCs w:val="24"/>
          <w:lang w:eastAsia="uk-UA"/>
        </w:rPr>
        <w:t xml:space="preserve">Обґрунтування технічних та якісних характеристик предмета закупівлі </w:t>
      </w:r>
    </w:p>
    <w:p w:rsidR="006E179D" w:rsidRPr="007F4BB3" w:rsidRDefault="006E179D" w:rsidP="006E179D">
      <w:pPr>
        <w:pStyle w:val="a6"/>
        <w:spacing w:before="0" w:after="0"/>
        <w:jc w:val="center"/>
        <w:rPr>
          <w:b/>
          <w:color w:val="000000"/>
          <w:lang w:eastAsia="uk-UA"/>
        </w:rPr>
      </w:pPr>
      <w:r w:rsidRPr="007F4BB3">
        <w:rPr>
          <w:b/>
          <w:color w:val="000000"/>
          <w:lang w:eastAsia="uk-UA"/>
        </w:rPr>
        <w:t>«Черевики з високими берцями, код ДК 021:2015-18830000-6 – Захисне взуття»</w:t>
      </w:r>
    </w:p>
    <w:p w:rsidR="006E179D" w:rsidRPr="007F4BB3" w:rsidRDefault="006E179D" w:rsidP="006E179D">
      <w:pPr>
        <w:pStyle w:val="a6"/>
        <w:spacing w:before="0" w:after="0"/>
        <w:jc w:val="center"/>
        <w:rPr>
          <w:b/>
          <w:color w:val="000000"/>
          <w:lang w:eastAsia="uk-UA"/>
        </w:rPr>
      </w:pPr>
    </w:p>
    <w:p w:rsidR="006E179D" w:rsidRPr="00D53F80" w:rsidRDefault="006E179D" w:rsidP="006E179D">
      <w:pPr>
        <w:spacing w:after="0" w:line="240" w:lineRule="auto"/>
        <w:ind w:left="-426" w:right="140" w:firstLine="426"/>
        <w:jc w:val="both"/>
        <w:rPr>
          <w:rFonts w:ascii="Times New Roman" w:eastAsia="Times New Roman" w:hAnsi="Times New Roman" w:cs="Times New Roman"/>
          <w:b/>
          <w:sz w:val="24"/>
          <w:szCs w:val="24"/>
          <w:lang w:eastAsia="zh-CN"/>
        </w:rPr>
      </w:pPr>
      <w:r>
        <w:rPr>
          <w:rFonts w:ascii="Times New Roman" w:eastAsia="Times New Roman" w:hAnsi="Times New Roman" w:cs="Times New Roman"/>
          <w:color w:val="000000"/>
          <w:sz w:val="24"/>
          <w:szCs w:val="24"/>
          <w:lang w:eastAsia="uk-UA"/>
        </w:rPr>
        <w:t xml:space="preserve">   В рамках виконання </w:t>
      </w:r>
      <w:r w:rsidRPr="00236DAF">
        <w:rPr>
          <w:rFonts w:ascii="Times New Roman" w:eastAsia="Times New Roman" w:hAnsi="Times New Roman" w:cs="Times New Roman"/>
          <w:color w:val="000000"/>
          <w:sz w:val="24"/>
          <w:szCs w:val="24"/>
          <w:lang w:eastAsia="uk-UA"/>
        </w:rPr>
        <w:t>Програми заходів національного спротиву Хмельницької міської територіальної громади на 2022 рік, затвердженої рішенням позачергової п`ятнадцятої сесії Хмельницької міської ради від 09.03.2022 року №1 та з метою здійснення матеріально-технічного забезпечення потреб сил територіальної оборони, добровольчих підрозділів територіальної оборони</w:t>
      </w:r>
      <w:r>
        <w:rPr>
          <w:rFonts w:ascii="Times New Roman" w:eastAsia="Times New Roman" w:hAnsi="Times New Roman" w:cs="Times New Roman"/>
          <w:color w:val="000000"/>
          <w:sz w:val="24"/>
          <w:szCs w:val="24"/>
          <w:lang w:eastAsia="uk-UA"/>
        </w:rPr>
        <w:t xml:space="preserve"> є потреба в закупівлі </w:t>
      </w:r>
      <w:r w:rsidRPr="00236DAF">
        <w:rPr>
          <w:rFonts w:ascii="Times New Roman" w:eastAsia="Times New Roman" w:hAnsi="Times New Roman" w:cs="Times New Roman"/>
          <w:color w:val="000000"/>
          <w:sz w:val="24"/>
          <w:szCs w:val="24"/>
          <w:lang w:eastAsia="uk-UA"/>
        </w:rPr>
        <w:t xml:space="preserve">черевиків з високими берцями у кількості </w:t>
      </w:r>
      <w:r>
        <w:rPr>
          <w:rFonts w:ascii="Times New Roman" w:eastAsia="Times New Roman" w:hAnsi="Times New Roman" w:cs="Times New Roman"/>
          <w:color w:val="000000"/>
          <w:sz w:val="24"/>
          <w:szCs w:val="24"/>
          <w:lang w:eastAsia="uk-UA"/>
        </w:rPr>
        <w:t>6</w:t>
      </w:r>
      <w:r w:rsidRPr="00236DAF">
        <w:rPr>
          <w:rFonts w:ascii="Times New Roman" w:eastAsia="Times New Roman" w:hAnsi="Times New Roman" w:cs="Times New Roman"/>
          <w:color w:val="000000"/>
          <w:sz w:val="24"/>
          <w:szCs w:val="24"/>
          <w:lang w:eastAsia="uk-UA"/>
        </w:rPr>
        <w:t>00 шт.</w:t>
      </w:r>
      <w:r>
        <w:rPr>
          <w:rFonts w:ascii="Times New Roman" w:eastAsia="Times New Roman" w:hAnsi="Times New Roman" w:cs="Times New Roman"/>
          <w:b/>
          <w:sz w:val="24"/>
          <w:szCs w:val="24"/>
          <w:lang w:eastAsia="zh-CN"/>
        </w:rPr>
        <w:t xml:space="preserve"> </w:t>
      </w:r>
      <w:r>
        <w:rPr>
          <w:rFonts w:ascii="Times New Roman" w:eastAsia="Times New Roman" w:hAnsi="Times New Roman" w:cs="Times New Roman"/>
          <w:color w:val="000000"/>
          <w:sz w:val="24"/>
          <w:szCs w:val="24"/>
          <w:lang w:eastAsia="uk-UA"/>
        </w:rPr>
        <w:t>Технічні та якісні вимоги  до предмета закупівлі, визначені у відповідності до листа завідувача відділу з питань оборонно-мобілізаційної і режимно-секретної роботи та взаємодії з правоохоронними органами Хмельницької міської ради № 4093-02-23-22 від 17.10.2022 р</w:t>
      </w:r>
    </w:p>
    <w:p w:rsidR="006E179D" w:rsidRPr="00923D5F" w:rsidRDefault="006E179D" w:rsidP="006E179D">
      <w:pPr>
        <w:ind w:right="-284"/>
        <w:jc w:val="both"/>
        <w:rPr>
          <w:rFonts w:ascii="Times New Roman" w:eastAsia="Times New Roman" w:hAnsi="Times New Roman" w:cs="Times New Roman"/>
          <w:color w:val="000000"/>
          <w:sz w:val="24"/>
          <w:szCs w:val="24"/>
          <w:lang w:eastAsia="uk-UA"/>
        </w:rPr>
      </w:pPr>
      <w:r>
        <w:rPr>
          <w:rFonts w:ascii="Times New Roman" w:eastAsia="Times New Roman" w:hAnsi="Times New Roman" w:cs="Times New Roman"/>
          <w:color w:val="000000"/>
          <w:sz w:val="24"/>
          <w:szCs w:val="24"/>
          <w:lang w:eastAsia="uk-UA"/>
        </w:rPr>
        <w:t xml:space="preserve">   Розмір бюджетного призначення 1350,00 тис. грн.</w:t>
      </w:r>
    </w:p>
    <w:p w:rsidR="006E179D" w:rsidRPr="00DF6434" w:rsidRDefault="006E179D" w:rsidP="006E179D">
      <w:pPr>
        <w:suppressLineNumbers/>
        <w:tabs>
          <w:tab w:val="left" w:pos="-180"/>
          <w:tab w:val="left" w:pos="540"/>
        </w:tabs>
        <w:ind w:left="-180"/>
        <w:jc w:val="both"/>
        <w:rPr>
          <w:rFonts w:ascii="Times New Roman" w:eastAsia="Times New Roman" w:hAnsi="Times New Roman" w:cs="Times New Roman"/>
          <w:b/>
          <w:color w:val="000000"/>
          <w:sz w:val="24"/>
          <w:szCs w:val="24"/>
          <w:lang w:eastAsia="uk-UA"/>
        </w:rPr>
      </w:pPr>
      <w:r w:rsidRPr="00DF6434">
        <w:rPr>
          <w:rFonts w:ascii="Times New Roman" w:eastAsia="Times New Roman" w:hAnsi="Times New Roman" w:cs="Times New Roman"/>
          <w:b/>
          <w:color w:val="000000"/>
          <w:sz w:val="24"/>
          <w:szCs w:val="24"/>
          <w:lang w:eastAsia="uk-UA"/>
        </w:rPr>
        <w:t xml:space="preserve">          Технічні вимоги до товару:</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 Вид: черевики з високими берцями з натуральної шкіри та текстильного матеріалу чорного кольору із шкіряною союзкою, обсоюзкою  яка зроблена із зносостійкої шкіри із спеціальним «антивандальним» покриттям, з високими берцями та глухим клапаном. Водонепрони</w:t>
      </w:r>
      <w:r>
        <w:rPr>
          <w:rFonts w:ascii="Times New Roman" w:eastAsia="Times New Roman" w:hAnsi="Times New Roman" w:cs="Times New Roman"/>
          <w:color w:val="000000"/>
          <w:sz w:val="24"/>
          <w:szCs w:val="24"/>
          <w:lang w:eastAsia="uk-UA"/>
        </w:rPr>
        <w:t>к</w:t>
      </w:r>
      <w:r w:rsidRPr="00DF6434">
        <w:rPr>
          <w:rFonts w:ascii="Times New Roman" w:eastAsia="Times New Roman" w:hAnsi="Times New Roman" w:cs="Times New Roman"/>
          <w:color w:val="000000"/>
          <w:sz w:val="24"/>
          <w:szCs w:val="24"/>
          <w:lang w:eastAsia="uk-UA"/>
        </w:rPr>
        <w:t>ної мембрани, ортопедичними устілками та металевими петлями для шнурків.</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 Метод  кріплення до ноги: Шнурівка.</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3. Сезон: Осінь/зима. Температурний режим від </w:t>
      </w:r>
      <w:r>
        <w:rPr>
          <w:rFonts w:ascii="Times New Roman" w:eastAsia="Times New Roman" w:hAnsi="Times New Roman" w:cs="Times New Roman"/>
          <w:color w:val="000000"/>
          <w:sz w:val="24"/>
          <w:szCs w:val="24"/>
          <w:lang w:eastAsia="uk-UA"/>
        </w:rPr>
        <w:t xml:space="preserve">до </w:t>
      </w:r>
      <w:r w:rsidRPr="00DF6434">
        <w:rPr>
          <w:rFonts w:ascii="Times New Roman" w:eastAsia="Times New Roman" w:hAnsi="Times New Roman" w:cs="Times New Roman"/>
          <w:color w:val="000000"/>
          <w:sz w:val="24"/>
          <w:szCs w:val="24"/>
          <w:lang w:eastAsia="uk-UA"/>
        </w:rPr>
        <w:t>-15</w:t>
      </w:r>
      <w:r>
        <w:rPr>
          <w:rFonts w:ascii="Times New Roman" w:eastAsia="Times New Roman" w:hAnsi="Times New Roman" w:cs="Times New Roman"/>
          <w:color w:val="000000"/>
          <w:sz w:val="24"/>
          <w:szCs w:val="24"/>
          <w:lang w:eastAsia="uk-UA"/>
        </w:rPr>
        <w:t>.</w:t>
      </w:r>
      <w:r w:rsidRPr="00DF6434">
        <w:rPr>
          <w:rFonts w:ascii="Times New Roman" w:eastAsia="Times New Roman" w:hAnsi="Times New Roman" w:cs="Times New Roman"/>
          <w:color w:val="000000"/>
          <w:sz w:val="24"/>
          <w:szCs w:val="24"/>
          <w:lang w:eastAsia="uk-UA"/>
        </w:rPr>
        <w:t xml:space="preserve"> </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 Колір: Чорний.</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5. Матеріали верху:</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 </w:t>
      </w:r>
      <w:r w:rsidRPr="000D5182">
        <w:rPr>
          <w:rFonts w:ascii="Times New Roman" w:eastAsia="Times New Roman" w:hAnsi="Times New Roman" w:cs="Times New Roman"/>
          <w:color w:val="000000"/>
          <w:sz w:val="24"/>
          <w:szCs w:val="24"/>
          <w:lang w:eastAsia="uk-UA"/>
        </w:rPr>
        <w:t xml:space="preserve">натуральна шкіра та/або нубук, </w:t>
      </w:r>
      <w:r w:rsidRPr="00DF6434">
        <w:rPr>
          <w:rFonts w:ascii="Times New Roman" w:eastAsia="Times New Roman" w:hAnsi="Times New Roman" w:cs="Times New Roman"/>
          <w:color w:val="000000"/>
          <w:sz w:val="24"/>
          <w:szCs w:val="24"/>
          <w:lang w:eastAsia="uk-UA"/>
        </w:rPr>
        <w:t xml:space="preserve">товщина 1,4-1,6 мм, водостійка, </w:t>
      </w:r>
      <w:proofErr w:type="spellStart"/>
      <w:r w:rsidRPr="00DF6434">
        <w:rPr>
          <w:rFonts w:ascii="Times New Roman" w:eastAsia="Times New Roman" w:hAnsi="Times New Roman" w:cs="Times New Roman"/>
          <w:color w:val="000000"/>
          <w:sz w:val="24"/>
          <w:szCs w:val="24"/>
          <w:lang w:eastAsia="uk-UA"/>
        </w:rPr>
        <w:t>продубльована</w:t>
      </w:r>
      <w:proofErr w:type="spellEnd"/>
      <w:r w:rsidRPr="00DF6434">
        <w:rPr>
          <w:rFonts w:ascii="Times New Roman" w:eastAsia="Times New Roman" w:hAnsi="Times New Roman" w:cs="Times New Roman"/>
          <w:color w:val="000000"/>
          <w:sz w:val="24"/>
          <w:szCs w:val="24"/>
          <w:lang w:eastAsia="uk-UA"/>
        </w:rPr>
        <w:t xml:space="preserve"> міжполотном </w:t>
      </w:r>
      <w:proofErr w:type="spellStart"/>
      <w:r w:rsidRPr="00DF6434">
        <w:rPr>
          <w:rFonts w:ascii="Times New Roman" w:eastAsia="Times New Roman" w:hAnsi="Times New Roman" w:cs="Times New Roman"/>
          <w:color w:val="000000"/>
          <w:sz w:val="24"/>
          <w:szCs w:val="24"/>
          <w:lang w:eastAsia="uk-UA"/>
        </w:rPr>
        <w:t>Tehno</w:t>
      </w:r>
      <w:proofErr w:type="spellEnd"/>
      <w:r w:rsidRPr="00DF6434">
        <w:rPr>
          <w:rFonts w:ascii="Times New Roman" w:eastAsia="Times New Roman" w:hAnsi="Times New Roman" w:cs="Times New Roman"/>
          <w:color w:val="000000"/>
          <w:sz w:val="24"/>
          <w:szCs w:val="24"/>
          <w:lang w:eastAsia="uk-UA"/>
        </w:rPr>
        <w:t xml:space="preserve"> G (шкіра відповідає наступним характеристикам – таблиця 1):</w:t>
      </w:r>
    </w:p>
    <w:p w:rsidR="006E179D" w:rsidRPr="00DF6434" w:rsidRDefault="006E179D" w:rsidP="006E179D">
      <w:pPr>
        <w:ind w:firstLine="709"/>
        <w:contextualSpacing/>
        <w:jc w:val="center"/>
        <w:rPr>
          <w:rFonts w:ascii="Times New Roman" w:eastAsia="Times New Roman" w:hAnsi="Times New Roman" w:cs="Times New Roman"/>
          <w:color w:val="000000"/>
          <w:sz w:val="24"/>
          <w:szCs w:val="24"/>
          <w:lang w:eastAsia="uk-UA"/>
        </w:rPr>
      </w:pPr>
    </w:p>
    <w:p w:rsidR="006E179D" w:rsidRPr="00DF6434" w:rsidRDefault="006E179D" w:rsidP="006E179D">
      <w:pPr>
        <w:ind w:firstLine="709"/>
        <w:contextualSpacing/>
        <w:jc w:val="right"/>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Таблиця 1- Технічні характеристики шкіри</w:t>
      </w:r>
    </w:p>
    <w:tbl>
      <w:tblPr>
        <w:tblW w:w="0" w:type="auto"/>
        <w:tblInd w:w="3" w:type="dxa"/>
        <w:tblLayout w:type="fixed"/>
        <w:tblCellMar>
          <w:left w:w="7" w:type="dxa"/>
          <w:right w:w="0" w:type="dxa"/>
        </w:tblCellMar>
        <w:tblLook w:val="0000" w:firstRow="0" w:lastRow="0" w:firstColumn="0" w:lastColumn="0" w:noHBand="0" w:noVBand="0"/>
      </w:tblPr>
      <w:tblGrid>
        <w:gridCol w:w="627"/>
        <w:gridCol w:w="7316"/>
        <w:gridCol w:w="1701"/>
      </w:tblGrid>
      <w:tr w:rsidR="006E179D" w:rsidRPr="00DF6434" w:rsidTr="00005F66">
        <w:trPr>
          <w:trHeight w:val="253"/>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Найменування показника</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Норма для шкіри</w:t>
            </w:r>
          </w:p>
        </w:tc>
      </w:tr>
      <w:tr w:rsidR="006E179D" w:rsidRPr="00DF6434" w:rsidTr="00005F66">
        <w:trPr>
          <w:trHeight w:val="278"/>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1</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Масова доля вологи, %</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10-16</w:t>
            </w:r>
          </w:p>
        </w:tc>
      </w:tr>
      <w:tr w:rsidR="006E179D" w:rsidRPr="00DF6434" w:rsidTr="00005F66">
        <w:trPr>
          <w:trHeight w:val="80"/>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2</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Масова доля окису хрому, %,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4,3</w:t>
            </w:r>
          </w:p>
        </w:tc>
      </w:tr>
      <w:tr w:rsidR="006E179D" w:rsidRPr="00DF6434" w:rsidTr="00005F66">
        <w:trPr>
          <w:trHeight w:val="550"/>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tabs>
                <w:tab w:val="left" w:pos="1230"/>
                <w:tab w:val="left" w:pos="1991"/>
                <w:tab w:val="left" w:pos="3399"/>
                <w:tab w:val="left" w:pos="4002"/>
                <w:tab w:val="left" w:pos="5861"/>
              </w:tabs>
              <w:contextualSpacing/>
              <w:jc w:val="center"/>
              <w:rPr>
                <w:color w:val="000000"/>
                <w:sz w:val="24"/>
                <w:szCs w:val="24"/>
                <w:lang w:eastAsia="uk-UA"/>
              </w:rPr>
            </w:pPr>
            <w:r w:rsidRPr="00DF6434">
              <w:rPr>
                <w:color w:val="000000"/>
                <w:sz w:val="24"/>
                <w:szCs w:val="24"/>
                <w:lang w:eastAsia="uk-UA"/>
              </w:rPr>
              <w:t>3</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tabs>
                <w:tab w:val="left" w:pos="1230"/>
                <w:tab w:val="left" w:pos="1991"/>
                <w:tab w:val="left" w:pos="3399"/>
                <w:tab w:val="left" w:pos="4002"/>
                <w:tab w:val="left" w:pos="5861"/>
              </w:tabs>
              <w:contextualSpacing/>
              <w:rPr>
                <w:color w:val="000000"/>
                <w:sz w:val="24"/>
                <w:szCs w:val="24"/>
                <w:lang w:eastAsia="uk-UA"/>
              </w:rPr>
            </w:pPr>
            <w:r w:rsidRPr="00DF6434">
              <w:rPr>
                <w:color w:val="000000"/>
                <w:sz w:val="24"/>
                <w:szCs w:val="24"/>
                <w:lang w:eastAsia="uk-UA"/>
              </w:rPr>
              <w:t>Масова</w:t>
            </w:r>
            <w:r w:rsidRPr="00DF6434">
              <w:rPr>
                <w:color w:val="000000"/>
                <w:sz w:val="24"/>
                <w:szCs w:val="24"/>
                <w:lang w:eastAsia="uk-UA"/>
              </w:rPr>
              <w:tab/>
              <w:t>доля</w:t>
            </w:r>
            <w:r w:rsidRPr="00DF6434">
              <w:rPr>
                <w:color w:val="000000"/>
                <w:sz w:val="24"/>
                <w:szCs w:val="24"/>
                <w:lang w:eastAsia="uk-UA"/>
              </w:rPr>
              <w:tab/>
              <w:t>речовини,</w:t>
            </w:r>
            <w:r w:rsidRPr="00DF6434">
              <w:rPr>
                <w:color w:val="000000"/>
                <w:sz w:val="24"/>
                <w:szCs w:val="24"/>
                <w:lang w:eastAsia="uk-UA"/>
              </w:rPr>
              <w:tab/>
              <w:t>яка</w:t>
            </w:r>
            <w:r w:rsidRPr="00DF6434">
              <w:rPr>
                <w:color w:val="000000"/>
                <w:sz w:val="24"/>
                <w:szCs w:val="24"/>
                <w:lang w:eastAsia="uk-UA"/>
              </w:rPr>
              <w:tab/>
              <w:t>екстрагується</w:t>
            </w:r>
            <w:r w:rsidRPr="00DF6434">
              <w:rPr>
                <w:color w:val="000000"/>
                <w:sz w:val="24"/>
                <w:szCs w:val="24"/>
                <w:lang w:eastAsia="uk-UA"/>
              </w:rPr>
              <w:tab/>
              <w:t>органічними</w:t>
            </w:r>
          </w:p>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 xml:space="preserve">розчинниками (без полімерних </w:t>
            </w:r>
            <w:proofErr w:type="spellStart"/>
            <w:r w:rsidRPr="00DF6434">
              <w:rPr>
                <w:color w:val="000000"/>
                <w:sz w:val="24"/>
                <w:szCs w:val="24"/>
                <w:lang w:eastAsia="uk-UA"/>
              </w:rPr>
              <w:t>сполук</w:t>
            </w:r>
            <w:proofErr w:type="spellEnd"/>
            <w:r w:rsidRPr="00DF6434">
              <w:rPr>
                <w:color w:val="000000"/>
                <w:sz w:val="24"/>
                <w:szCs w:val="24"/>
                <w:lang w:eastAsia="uk-UA"/>
              </w:rPr>
              <w:t>), %,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3,7</w:t>
            </w:r>
          </w:p>
        </w:tc>
      </w:tr>
      <w:tr w:rsidR="006E179D" w:rsidRPr="00DF6434" w:rsidTr="00005F66">
        <w:trPr>
          <w:trHeight w:val="55"/>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tabs>
                <w:tab w:val="left" w:pos="1083"/>
                <w:tab w:val="left" w:pos="2372"/>
                <w:tab w:val="left" w:pos="3084"/>
                <w:tab w:val="left" w:pos="4882"/>
                <w:tab w:val="left" w:pos="6282"/>
              </w:tabs>
              <w:contextualSpacing/>
              <w:jc w:val="center"/>
              <w:rPr>
                <w:color w:val="000000"/>
                <w:sz w:val="24"/>
                <w:szCs w:val="24"/>
                <w:lang w:eastAsia="uk-UA"/>
              </w:rPr>
            </w:pPr>
            <w:r w:rsidRPr="00DF6434">
              <w:rPr>
                <w:color w:val="000000"/>
                <w:sz w:val="24"/>
                <w:szCs w:val="24"/>
                <w:lang w:eastAsia="uk-UA"/>
              </w:rPr>
              <w:t>4</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tabs>
                <w:tab w:val="left" w:pos="1083"/>
                <w:tab w:val="left" w:pos="2372"/>
                <w:tab w:val="left" w:pos="3084"/>
                <w:tab w:val="left" w:pos="4882"/>
                <w:tab w:val="left" w:pos="6282"/>
              </w:tabs>
              <w:contextualSpacing/>
              <w:rPr>
                <w:color w:val="000000"/>
                <w:sz w:val="24"/>
                <w:szCs w:val="24"/>
                <w:lang w:eastAsia="uk-UA"/>
              </w:rPr>
            </w:pPr>
            <w:r w:rsidRPr="00DF6434">
              <w:rPr>
                <w:color w:val="000000"/>
                <w:sz w:val="24"/>
                <w:szCs w:val="24"/>
                <w:lang w:eastAsia="uk-UA"/>
              </w:rPr>
              <w:t>Межа</w:t>
            </w:r>
            <w:r w:rsidRPr="00DF6434">
              <w:rPr>
                <w:color w:val="000000"/>
                <w:sz w:val="24"/>
                <w:szCs w:val="24"/>
                <w:lang w:eastAsia="uk-UA"/>
              </w:rPr>
              <w:tab/>
              <w:t>міцності</w:t>
            </w:r>
            <w:r w:rsidRPr="00DF6434">
              <w:rPr>
                <w:color w:val="000000"/>
                <w:sz w:val="24"/>
                <w:szCs w:val="24"/>
                <w:lang w:eastAsia="uk-UA"/>
              </w:rPr>
              <w:tab/>
              <w:t>при</w:t>
            </w:r>
            <w:r w:rsidRPr="00DF6434">
              <w:rPr>
                <w:color w:val="000000"/>
                <w:sz w:val="24"/>
                <w:szCs w:val="24"/>
                <w:lang w:eastAsia="uk-UA"/>
              </w:rPr>
              <w:tab/>
              <w:t xml:space="preserve">розтягуванні (середній показник </w:t>
            </w:r>
          </w:p>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випробувань подовжніх та поперечних зразків) по шкіpi, 10MПa,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snapToGrid w:val="0"/>
              <w:contextualSpacing/>
              <w:jc w:val="center"/>
              <w:rPr>
                <w:color w:val="000000"/>
                <w:sz w:val="24"/>
                <w:szCs w:val="24"/>
                <w:lang w:eastAsia="uk-UA"/>
              </w:rPr>
            </w:pPr>
          </w:p>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1,2</w:t>
            </w:r>
          </w:p>
        </w:tc>
      </w:tr>
      <w:tr w:rsidR="006E179D" w:rsidRPr="00DF6434" w:rsidTr="00005F66">
        <w:trPr>
          <w:trHeight w:val="278"/>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5</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Подовження при напрузі 10 МПа (середній показник)</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15-35</w:t>
            </w:r>
          </w:p>
        </w:tc>
      </w:tr>
      <w:tr w:rsidR="006E179D" w:rsidRPr="00DF6434" w:rsidTr="00005F66">
        <w:trPr>
          <w:trHeight w:val="278"/>
        </w:trPr>
        <w:tc>
          <w:tcPr>
            <w:tcW w:w="627" w:type="dxa"/>
            <w:vMerge w:val="restart"/>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6</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Стійкість фарбувания шкіри (по шкалі ciрих еталонів):</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snapToGrid w:val="0"/>
              <w:contextualSpacing/>
              <w:jc w:val="center"/>
              <w:rPr>
                <w:color w:val="000000"/>
                <w:sz w:val="24"/>
                <w:szCs w:val="24"/>
                <w:lang w:eastAsia="uk-UA"/>
              </w:rPr>
            </w:pPr>
          </w:p>
        </w:tc>
      </w:tr>
      <w:tr w:rsidR="006E179D" w:rsidRPr="00DF6434" w:rsidTr="00005F66">
        <w:trPr>
          <w:trHeight w:val="375"/>
        </w:trPr>
        <w:tc>
          <w:tcPr>
            <w:tcW w:w="627" w:type="dxa"/>
            <w:vMerge/>
            <w:tcBorders>
              <w:top w:val="single" w:sz="6" w:space="0" w:color="4F383B"/>
              <w:left w:val="single" w:sz="6" w:space="0" w:color="4F383B"/>
              <w:bottom w:val="single" w:sz="6" w:space="0" w:color="4F383B"/>
            </w:tcBorders>
            <w:shd w:val="clear" w:color="auto" w:fill="auto"/>
          </w:tcPr>
          <w:p w:rsidR="006E179D" w:rsidRPr="00DF6434" w:rsidRDefault="006E179D" w:rsidP="00005F66">
            <w:pPr>
              <w:snapToGrid w:val="0"/>
              <w:rPr>
                <w:rFonts w:ascii="Times New Roman" w:eastAsia="Times New Roman" w:hAnsi="Times New Roman" w:cs="Times New Roman"/>
                <w:color w:val="000000"/>
                <w:sz w:val="24"/>
                <w:szCs w:val="24"/>
                <w:lang w:eastAsia="uk-UA"/>
              </w:rPr>
            </w:pP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до cyxoro тертя</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5</w:t>
            </w:r>
          </w:p>
        </w:tc>
      </w:tr>
      <w:tr w:rsidR="006E179D" w:rsidRPr="00DF6434" w:rsidTr="00005F66">
        <w:trPr>
          <w:trHeight w:val="278"/>
        </w:trPr>
        <w:tc>
          <w:tcPr>
            <w:tcW w:w="627" w:type="dxa"/>
            <w:vMerge/>
            <w:tcBorders>
              <w:top w:val="single" w:sz="6" w:space="0" w:color="4F383B"/>
              <w:left w:val="single" w:sz="6" w:space="0" w:color="4F383B"/>
              <w:bottom w:val="single" w:sz="6" w:space="0" w:color="4F383B"/>
            </w:tcBorders>
            <w:shd w:val="clear" w:color="auto" w:fill="auto"/>
          </w:tcPr>
          <w:p w:rsidR="006E179D" w:rsidRPr="00DF6434" w:rsidRDefault="006E179D" w:rsidP="00005F66">
            <w:pPr>
              <w:snapToGrid w:val="0"/>
              <w:rPr>
                <w:rFonts w:ascii="Times New Roman" w:eastAsia="Times New Roman" w:hAnsi="Times New Roman" w:cs="Times New Roman"/>
                <w:color w:val="000000"/>
                <w:sz w:val="24"/>
                <w:szCs w:val="24"/>
                <w:lang w:eastAsia="uk-UA"/>
              </w:rPr>
            </w:pP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до мокрого тертя</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4</w:t>
            </w:r>
          </w:p>
        </w:tc>
      </w:tr>
      <w:tr w:rsidR="006E179D" w:rsidRPr="00DF6434" w:rsidTr="00005F66">
        <w:trPr>
          <w:trHeight w:val="258"/>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7</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Межа міцності при розтягуванні, 10МПа,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1,5</w:t>
            </w:r>
          </w:p>
        </w:tc>
      </w:tr>
      <w:tr w:rsidR="006E179D" w:rsidRPr="00DF6434" w:rsidTr="00005F66">
        <w:trPr>
          <w:trHeight w:val="274"/>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8</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 xml:space="preserve">Напруга при появленні </w:t>
            </w:r>
            <w:proofErr w:type="spellStart"/>
            <w:r w:rsidRPr="00DF6434">
              <w:rPr>
                <w:color w:val="000000"/>
                <w:sz w:val="24"/>
                <w:szCs w:val="24"/>
                <w:lang w:eastAsia="uk-UA"/>
              </w:rPr>
              <w:t>тріщин</w:t>
            </w:r>
            <w:proofErr w:type="spellEnd"/>
            <w:r w:rsidRPr="00DF6434">
              <w:rPr>
                <w:color w:val="000000"/>
                <w:sz w:val="24"/>
                <w:szCs w:val="24"/>
                <w:lang w:eastAsia="uk-UA"/>
              </w:rPr>
              <w:t xml:space="preserve"> лицьового шару, 10MПa,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1,3</w:t>
            </w:r>
          </w:p>
        </w:tc>
      </w:tr>
      <w:tr w:rsidR="006E179D" w:rsidRPr="00DF6434" w:rsidTr="00005F66">
        <w:trPr>
          <w:trHeight w:val="56"/>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9</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Подовження при напрузі, 10 MПa, %</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20-40</w:t>
            </w:r>
          </w:p>
        </w:tc>
      </w:tr>
      <w:tr w:rsidR="006E179D" w:rsidRPr="00DF6434" w:rsidTr="00005F66">
        <w:trPr>
          <w:trHeight w:val="270"/>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10</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Стійкість покриття до багаторазового згину, бали,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2(3)</w:t>
            </w:r>
          </w:p>
        </w:tc>
      </w:tr>
      <w:tr w:rsidR="006E179D" w:rsidRPr="00DF6434" w:rsidTr="00005F66">
        <w:trPr>
          <w:trHeight w:val="283"/>
        </w:trPr>
        <w:tc>
          <w:tcPr>
            <w:tcW w:w="627"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lastRenderedPageBreak/>
              <w:t>11</w:t>
            </w:r>
          </w:p>
        </w:tc>
        <w:tc>
          <w:tcPr>
            <w:tcW w:w="7316" w:type="dxa"/>
            <w:tcBorders>
              <w:top w:val="single" w:sz="6" w:space="0" w:color="4F383B"/>
              <w:left w:val="single" w:sz="6" w:space="0" w:color="4F383B"/>
              <w:bottom w:val="single" w:sz="6" w:space="0" w:color="4F383B"/>
            </w:tcBorders>
            <w:shd w:val="clear" w:color="auto" w:fill="auto"/>
          </w:tcPr>
          <w:p w:rsidR="006E179D" w:rsidRPr="00DF6434" w:rsidRDefault="006E179D" w:rsidP="00005F66">
            <w:pPr>
              <w:pStyle w:val="TableParagraph"/>
              <w:contextualSpacing/>
              <w:rPr>
                <w:color w:val="000000"/>
                <w:sz w:val="24"/>
                <w:szCs w:val="24"/>
                <w:lang w:eastAsia="uk-UA"/>
              </w:rPr>
            </w:pPr>
            <w:r w:rsidRPr="00DF6434">
              <w:rPr>
                <w:color w:val="000000"/>
                <w:sz w:val="24"/>
                <w:szCs w:val="24"/>
                <w:lang w:eastAsia="uk-UA"/>
              </w:rPr>
              <w:t>Адгезія покривної плівки, Н/м, не менше</w:t>
            </w:r>
          </w:p>
        </w:tc>
        <w:tc>
          <w:tcPr>
            <w:tcW w:w="1701" w:type="dxa"/>
            <w:tcBorders>
              <w:top w:val="single" w:sz="6" w:space="0" w:color="4F383B"/>
              <w:left w:val="single" w:sz="6" w:space="0" w:color="4F383B"/>
              <w:bottom w:val="single" w:sz="6" w:space="0" w:color="4F383B"/>
              <w:right w:val="single" w:sz="6" w:space="0" w:color="4F383B"/>
            </w:tcBorders>
            <w:shd w:val="clear" w:color="auto" w:fill="auto"/>
          </w:tcPr>
          <w:p w:rsidR="006E179D" w:rsidRPr="00DF6434" w:rsidRDefault="006E179D" w:rsidP="00005F66">
            <w:pPr>
              <w:pStyle w:val="TableParagraph"/>
              <w:contextualSpacing/>
              <w:jc w:val="center"/>
              <w:rPr>
                <w:color w:val="000000"/>
                <w:sz w:val="24"/>
                <w:szCs w:val="24"/>
                <w:lang w:eastAsia="uk-UA"/>
              </w:rPr>
            </w:pPr>
            <w:r w:rsidRPr="00DF6434">
              <w:rPr>
                <w:color w:val="000000"/>
                <w:sz w:val="24"/>
                <w:szCs w:val="24"/>
                <w:lang w:eastAsia="uk-UA"/>
              </w:rPr>
              <w:t>200</w:t>
            </w:r>
          </w:p>
        </w:tc>
      </w:tr>
    </w:tbl>
    <w:p w:rsidR="006E179D" w:rsidRPr="00DF6434" w:rsidRDefault="006E179D" w:rsidP="006E179D">
      <w:pPr>
        <w:contextualSpacing/>
        <w:rPr>
          <w:rFonts w:ascii="Times New Roman" w:eastAsia="Times New Roman" w:hAnsi="Times New Roman" w:cs="Times New Roman"/>
          <w:color w:val="000000"/>
          <w:sz w:val="24"/>
          <w:szCs w:val="24"/>
          <w:lang w:eastAsia="uk-UA"/>
        </w:rPr>
      </w:pP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натуральна шкіра із  «антивандальним» покриттям (</w:t>
      </w:r>
      <w:proofErr w:type="spellStart"/>
      <w:r w:rsidRPr="00DF6434">
        <w:rPr>
          <w:rFonts w:ascii="Times New Roman" w:eastAsia="Times New Roman" w:hAnsi="Times New Roman" w:cs="Times New Roman"/>
          <w:color w:val="000000"/>
          <w:sz w:val="24"/>
          <w:szCs w:val="24"/>
          <w:lang w:eastAsia="uk-UA"/>
        </w:rPr>
        <w:t>спил</w:t>
      </w:r>
      <w:proofErr w:type="spellEnd"/>
      <w:r w:rsidRPr="00DF6434">
        <w:rPr>
          <w:rFonts w:ascii="Times New Roman" w:eastAsia="Times New Roman" w:hAnsi="Times New Roman" w:cs="Times New Roman"/>
          <w:color w:val="000000"/>
          <w:sz w:val="24"/>
          <w:szCs w:val="24"/>
          <w:lang w:eastAsia="uk-UA"/>
        </w:rPr>
        <w:t xml:space="preserve">-велюр покритий поліуретановою плівкою, стійкою стирання ); </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тканина  «CORDURA 1000d», пряжа полістер 6.6 із щільністю 340 г/м2, з вогнетривким та водовідштовхуючим просоченням. Високоміцна на розрив, стійка до механічних впливів та надвисоких температур.</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6. Фурнітура:</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петля металева з антикорозійним покриттям;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тасьма текстильна, зносостійка.</w:t>
      </w:r>
    </w:p>
    <w:p w:rsidR="006E179D" w:rsidRPr="00EA77DE" w:rsidRDefault="006E179D" w:rsidP="006E179D">
      <w:pPr>
        <w:ind w:firstLine="709"/>
        <w:contextualSpacing/>
        <w:jc w:val="both"/>
        <w:rPr>
          <w:rFonts w:ascii="Times New Roman" w:eastAsia="Times New Roman" w:hAnsi="Times New Roman" w:cs="Times New Roman" w:hint="eastAsia"/>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7. Матеріал підкладки: </w:t>
      </w:r>
      <w:r w:rsidRPr="00EA77DE">
        <w:rPr>
          <w:rFonts w:ascii="Times New Roman" w:eastAsia="Times New Roman" w:hAnsi="Times New Roman" w:cs="Times New Roman"/>
          <w:color w:val="000000"/>
          <w:sz w:val="24"/>
          <w:szCs w:val="24"/>
          <w:lang w:eastAsia="uk-UA"/>
        </w:rPr>
        <w:t xml:space="preserve">Утеплюючий матеріал за технологією комбінування  з водостійкою мембраною, шви якого загерметезовані на спеціалізованій машині, герметичною стрічкою, що дозволяє експлуатувати взуття у не сприятливих погодних умовах. </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8. Підносок: Композитний підносок з термопластичного матеріалу, що витримує навантаження у 200Дж, товщиною 2.1 мм.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9. Задник: Термопластичний матеріал з двостороннім покриттям, товщиною 2,2 мм.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10. Устілка основна: зносостійкий, гідрофобний матеріал «IBISOLEX 305».</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11. Устілка вкладна: З’ємна. Формована, анатомічна устілка з антибактеріального матеріалу EVA, вкритого водонепроникною мембраною .</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12. Підошва: </w:t>
      </w:r>
      <w:r w:rsidRPr="000F2CA0">
        <w:rPr>
          <w:rFonts w:ascii="Times New Roman" w:eastAsia="Times New Roman" w:hAnsi="Times New Roman" w:cs="Times New Roman"/>
          <w:color w:val="000000"/>
          <w:sz w:val="24"/>
          <w:szCs w:val="24"/>
          <w:lang w:eastAsia="uk-UA"/>
        </w:rPr>
        <w:t>Клеєвого метода кріплення. Матеріал TR (термопластична гума), стійка до високих та низьких температур. Має велику площу контакту з поверхнею, протектор самоочищується</w:t>
      </w:r>
      <w:r w:rsidRPr="00DF6434">
        <w:rPr>
          <w:rFonts w:ascii="Times New Roman" w:eastAsia="Times New Roman" w:hAnsi="Times New Roman" w:cs="Times New Roman"/>
          <w:color w:val="000000"/>
          <w:sz w:val="24"/>
          <w:szCs w:val="24"/>
          <w:lang w:eastAsia="uk-UA"/>
        </w:rPr>
        <w:t xml:space="preserve"> (повинна відповідати наступним характеристикам – таблиця 2).</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p>
    <w:p w:rsidR="006E179D" w:rsidRPr="00DF6434" w:rsidRDefault="006E179D" w:rsidP="006E179D">
      <w:pPr>
        <w:ind w:firstLine="709"/>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Таблиця 2 - Технічні характеристики підошви</w:t>
      </w:r>
    </w:p>
    <w:tbl>
      <w:tblPr>
        <w:tblW w:w="0" w:type="auto"/>
        <w:jc w:val="center"/>
        <w:tblLayout w:type="fixed"/>
        <w:tblCellMar>
          <w:left w:w="113" w:type="dxa"/>
        </w:tblCellMar>
        <w:tblLook w:val="0000" w:firstRow="0" w:lastRow="0" w:firstColumn="0" w:lastColumn="0" w:noHBand="0" w:noVBand="0"/>
      </w:tblPr>
      <w:tblGrid>
        <w:gridCol w:w="533"/>
        <w:gridCol w:w="5953"/>
        <w:gridCol w:w="1722"/>
      </w:tblGrid>
      <w:tr w:rsidR="006E179D" w:rsidRPr="00DF6434" w:rsidTr="00005F66">
        <w:trPr>
          <w:jc w:val="center"/>
        </w:trPr>
        <w:tc>
          <w:tcPr>
            <w:tcW w:w="53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w:t>
            </w:r>
          </w:p>
        </w:tc>
        <w:tc>
          <w:tcPr>
            <w:tcW w:w="595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Найменування показника:</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Норма</w:t>
            </w:r>
          </w:p>
        </w:tc>
      </w:tr>
      <w:tr w:rsidR="006E179D" w:rsidRPr="00DF6434" w:rsidTr="00005F66">
        <w:trPr>
          <w:jc w:val="center"/>
        </w:trPr>
        <w:tc>
          <w:tcPr>
            <w:tcW w:w="53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w:t>
            </w:r>
          </w:p>
        </w:tc>
        <w:tc>
          <w:tcPr>
            <w:tcW w:w="595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Плотність г/см3</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1,00+/-0,02</w:t>
            </w:r>
          </w:p>
        </w:tc>
      </w:tr>
      <w:tr w:rsidR="006E179D" w:rsidRPr="00DF6434" w:rsidTr="00005F66">
        <w:trPr>
          <w:jc w:val="center"/>
        </w:trPr>
        <w:tc>
          <w:tcPr>
            <w:tcW w:w="53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w:t>
            </w:r>
          </w:p>
        </w:tc>
        <w:tc>
          <w:tcPr>
            <w:tcW w:w="595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Умовна міцність при розриві, МПА не менше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3,0</w:t>
            </w:r>
          </w:p>
        </w:tc>
      </w:tr>
      <w:tr w:rsidR="006E179D" w:rsidRPr="00DF6434" w:rsidTr="00005F66">
        <w:trPr>
          <w:jc w:val="center"/>
        </w:trPr>
        <w:tc>
          <w:tcPr>
            <w:tcW w:w="53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w:t>
            </w:r>
          </w:p>
        </w:tc>
        <w:tc>
          <w:tcPr>
            <w:tcW w:w="595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Відносне видовження при розриві, %, не менше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250</w:t>
            </w:r>
          </w:p>
        </w:tc>
      </w:tr>
      <w:tr w:rsidR="006E179D" w:rsidRPr="00DF6434" w:rsidTr="00005F66">
        <w:trPr>
          <w:jc w:val="center"/>
        </w:trPr>
        <w:tc>
          <w:tcPr>
            <w:tcW w:w="53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w:t>
            </w:r>
          </w:p>
        </w:tc>
        <w:tc>
          <w:tcPr>
            <w:tcW w:w="595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Відносна залишкова деформація після розриву, %, не більше: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35</w:t>
            </w:r>
          </w:p>
        </w:tc>
      </w:tr>
      <w:tr w:rsidR="006E179D" w:rsidRPr="00DF6434" w:rsidTr="00005F66">
        <w:trPr>
          <w:jc w:val="center"/>
        </w:trPr>
        <w:tc>
          <w:tcPr>
            <w:tcW w:w="53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5</w:t>
            </w:r>
          </w:p>
        </w:tc>
        <w:tc>
          <w:tcPr>
            <w:tcW w:w="595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Твердість ШОРу, у.о:</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55-70</w:t>
            </w:r>
          </w:p>
        </w:tc>
      </w:tr>
      <w:tr w:rsidR="006E179D" w:rsidRPr="00DF6434" w:rsidTr="00005F66">
        <w:trPr>
          <w:jc w:val="center"/>
        </w:trPr>
        <w:tc>
          <w:tcPr>
            <w:tcW w:w="53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6</w:t>
            </w:r>
          </w:p>
        </w:tc>
        <w:tc>
          <w:tcPr>
            <w:tcW w:w="595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Зтираємість, мм3, не більше: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240</w:t>
            </w:r>
          </w:p>
        </w:tc>
      </w:tr>
      <w:tr w:rsidR="006E179D" w:rsidRPr="00DF6434" w:rsidTr="00005F66">
        <w:trPr>
          <w:jc w:val="center"/>
        </w:trPr>
        <w:tc>
          <w:tcPr>
            <w:tcW w:w="53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7</w:t>
            </w:r>
          </w:p>
        </w:tc>
        <w:tc>
          <w:tcPr>
            <w:tcW w:w="5953" w:type="dxa"/>
            <w:tcBorders>
              <w:top w:val="single" w:sz="4" w:space="0" w:color="00000A"/>
              <w:left w:val="single" w:sz="4" w:space="0" w:color="00000A"/>
              <w:bottom w:val="single" w:sz="4" w:space="0" w:color="00000A"/>
            </w:tcBorders>
            <w:shd w:val="clear" w:color="auto" w:fill="auto"/>
          </w:tcPr>
          <w:p w:rsidR="006E179D" w:rsidRPr="00DF6434" w:rsidRDefault="006E179D" w:rsidP="00005F66">
            <w:pPr>
              <w:contextualSpacing/>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Супротив до багаторазових згинань, тисяч циклів, не менше:</w:t>
            </w:r>
          </w:p>
        </w:tc>
        <w:tc>
          <w:tcPr>
            <w:tcW w:w="1722" w:type="dxa"/>
            <w:tcBorders>
              <w:top w:val="single" w:sz="4" w:space="0" w:color="00000A"/>
              <w:left w:val="single" w:sz="4" w:space="0" w:color="00000A"/>
              <w:bottom w:val="single" w:sz="4" w:space="0" w:color="00000A"/>
              <w:right w:val="single" w:sz="4" w:space="0" w:color="00000A"/>
            </w:tcBorders>
            <w:shd w:val="clear" w:color="auto" w:fill="auto"/>
          </w:tcPr>
          <w:p w:rsidR="006E179D" w:rsidRPr="00DF6434" w:rsidRDefault="006E179D" w:rsidP="00005F66">
            <w:pPr>
              <w:contextualSpacing/>
              <w:jc w:val="center"/>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25</w:t>
            </w:r>
          </w:p>
        </w:tc>
      </w:tr>
    </w:tbl>
    <w:p w:rsidR="006E179D" w:rsidRPr="00DF6434" w:rsidRDefault="006E179D" w:rsidP="006E179D">
      <w:pPr>
        <w:ind w:firstLine="737"/>
        <w:contextualSpacing/>
        <w:jc w:val="both"/>
        <w:rPr>
          <w:rFonts w:ascii="Times New Roman" w:eastAsia="Times New Roman" w:hAnsi="Times New Roman" w:cs="Times New Roman"/>
          <w:color w:val="000000"/>
          <w:sz w:val="24"/>
          <w:szCs w:val="24"/>
          <w:lang w:eastAsia="uk-UA"/>
        </w:rPr>
      </w:pPr>
    </w:p>
    <w:p w:rsidR="006E179D" w:rsidRPr="00DF6434" w:rsidRDefault="006E179D" w:rsidP="006E179D">
      <w:pPr>
        <w:ind w:firstLine="737"/>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13. Шнурівка: гідрофобна шнурівка, довжиною 140 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14. Розмірний ряд в штрих масовій та метричний системі вимірювання:</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36-23.5см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37-24.2см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38-25см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39-25.5см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40-26.7см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41-27.4см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42-28.3см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43-28.7см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44-29.4см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45-30.1см</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lastRenderedPageBreak/>
        <w:t xml:space="preserve">15. Гарантійний термін носки взуття становить 3 місяці з моменту експлуатації.  Гарантійний термін зберігання – 2 роки від дати виготовлення взуття при умові дотримання умов зберігання. </w:t>
      </w: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16. Упаковка: Взуття упаковується попарно в індивідуальну коробку з коробкового картону.</w:t>
      </w:r>
    </w:p>
    <w:p w:rsidR="006E179D" w:rsidRPr="00DF6434" w:rsidRDefault="006E179D" w:rsidP="006E179D">
      <w:pPr>
        <w:tabs>
          <w:tab w:val="left" w:pos="6712"/>
        </w:tabs>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 xml:space="preserve">            17. Кількість виробів у розрізі розмірного ряду узгоджуєть</w:t>
      </w:r>
      <w:r>
        <w:rPr>
          <w:rFonts w:ascii="Times New Roman" w:eastAsia="Times New Roman" w:hAnsi="Times New Roman" w:cs="Times New Roman"/>
          <w:color w:val="000000"/>
          <w:sz w:val="24"/>
          <w:szCs w:val="24"/>
          <w:lang w:eastAsia="uk-UA"/>
        </w:rPr>
        <w:t>с</w:t>
      </w:r>
      <w:r w:rsidRPr="00DF6434">
        <w:rPr>
          <w:rFonts w:ascii="Times New Roman" w:eastAsia="Times New Roman" w:hAnsi="Times New Roman" w:cs="Times New Roman"/>
          <w:color w:val="000000"/>
          <w:sz w:val="24"/>
          <w:szCs w:val="24"/>
          <w:lang w:eastAsia="uk-UA"/>
        </w:rPr>
        <w:t>я з Постачальником під час укладання договору.</w:t>
      </w:r>
    </w:p>
    <w:p w:rsidR="006E179D" w:rsidRPr="00DF6434" w:rsidRDefault="006E179D" w:rsidP="006E179D">
      <w:pPr>
        <w:pStyle w:val="a4"/>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18. Після підписання договору, перед поставною товару, Постачальний має надіслати на адресу замовника один екземпляр виробу для погодження.</w:t>
      </w:r>
    </w:p>
    <w:p w:rsidR="006E179D" w:rsidRPr="00DF6434" w:rsidRDefault="006E179D" w:rsidP="006E179D">
      <w:pPr>
        <w:pStyle w:val="a4"/>
        <w:jc w:val="both"/>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19. В складі пропозиції учасник обов`язково надає фото готового виробу, що ілюструє товар спереду, ззаду, збоку та фото внутрішньої сторони товару.</w:t>
      </w:r>
    </w:p>
    <w:p w:rsidR="006E179D" w:rsidRPr="00DF6434" w:rsidRDefault="006E179D" w:rsidP="006E179D">
      <w:pPr>
        <w:tabs>
          <w:tab w:val="left" w:pos="360"/>
        </w:tabs>
        <w:ind w:firstLine="709"/>
        <w:contextualSpacing/>
        <w:jc w:val="both"/>
        <w:rPr>
          <w:rFonts w:ascii="Times New Roman" w:eastAsia="Times New Roman" w:hAnsi="Times New Roman" w:cs="Times New Roman"/>
          <w:color w:val="000000"/>
          <w:sz w:val="24"/>
          <w:szCs w:val="24"/>
          <w:lang w:eastAsia="uk-UA"/>
        </w:rPr>
      </w:pP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p>
    <w:p w:rsidR="006E179D" w:rsidRPr="00DF6434" w:rsidRDefault="006E179D" w:rsidP="006E179D">
      <w:pPr>
        <w:ind w:firstLine="709"/>
        <w:contextualSpacing/>
        <w:jc w:val="both"/>
        <w:rPr>
          <w:rFonts w:ascii="Times New Roman" w:eastAsia="Times New Roman" w:hAnsi="Times New Roman" w:cs="Times New Roman"/>
          <w:color w:val="000000"/>
          <w:sz w:val="24"/>
          <w:szCs w:val="24"/>
          <w:lang w:eastAsia="uk-UA"/>
        </w:rPr>
      </w:pPr>
    </w:p>
    <w:p w:rsidR="006E179D" w:rsidRPr="00DF6434" w:rsidRDefault="006E179D" w:rsidP="006E179D">
      <w:pPr>
        <w:tabs>
          <w:tab w:val="left" w:pos="6712"/>
        </w:tabs>
        <w:jc w:val="right"/>
        <w:rPr>
          <w:rFonts w:ascii="Times New Roman" w:eastAsia="Times New Roman" w:hAnsi="Times New Roman" w:cs="Times New Roman"/>
          <w:color w:val="000000"/>
          <w:sz w:val="24"/>
          <w:szCs w:val="24"/>
          <w:lang w:eastAsia="uk-UA"/>
        </w:rPr>
      </w:pPr>
      <w:r w:rsidRPr="00DF6434">
        <w:rPr>
          <w:rFonts w:ascii="Times New Roman" w:eastAsia="Times New Roman" w:hAnsi="Times New Roman" w:cs="Times New Roman"/>
          <w:color w:val="000000"/>
          <w:sz w:val="24"/>
          <w:szCs w:val="24"/>
          <w:lang w:eastAsia="uk-UA"/>
        </w:rPr>
        <w:t>Зразок 1</w:t>
      </w:r>
    </w:p>
    <w:p w:rsidR="006E179D" w:rsidRPr="00BF606F" w:rsidRDefault="006E179D" w:rsidP="006E179D">
      <w:pPr>
        <w:ind w:left="720"/>
        <w:jc w:val="both"/>
      </w:pPr>
      <w:r>
        <w:rPr>
          <w:noProof/>
          <w:lang w:eastAsia="uk-UA"/>
        </w:rPr>
        <w:drawing>
          <wp:inline distT="0" distB="0" distL="0" distR="0" wp14:anchorId="16FA773A" wp14:editId="21BCB5CD">
            <wp:extent cx="2943225" cy="19050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943225" cy="1905000"/>
                    </a:xfrm>
                    <a:prstGeom prst="rect">
                      <a:avLst/>
                    </a:prstGeom>
                    <a:noFill/>
                    <a:ln>
                      <a:noFill/>
                    </a:ln>
                  </pic:spPr>
                </pic:pic>
              </a:graphicData>
            </a:graphic>
          </wp:inline>
        </w:drawing>
      </w:r>
    </w:p>
    <w:p w:rsidR="006E179D" w:rsidRDefault="006E179D" w:rsidP="006E179D">
      <w:pPr>
        <w:pStyle w:val="a6"/>
        <w:tabs>
          <w:tab w:val="left" w:pos="709"/>
        </w:tabs>
        <w:snapToGrid w:val="0"/>
        <w:spacing w:before="0" w:after="0"/>
        <w:jc w:val="both"/>
        <w:rPr>
          <w:color w:val="000000"/>
          <w:lang w:eastAsia="uk-UA"/>
        </w:rPr>
      </w:pPr>
    </w:p>
    <w:p w:rsidR="006E179D" w:rsidRDefault="006E179D" w:rsidP="006E179D">
      <w:pPr>
        <w:pStyle w:val="a6"/>
        <w:tabs>
          <w:tab w:val="left" w:pos="709"/>
        </w:tabs>
        <w:snapToGrid w:val="0"/>
        <w:spacing w:before="0" w:after="0"/>
        <w:jc w:val="both"/>
        <w:rPr>
          <w:color w:val="000000"/>
          <w:lang w:eastAsia="uk-UA"/>
        </w:rPr>
      </w:pPr>
    </w:p>
    <w:p w:rsidR="006E179D" w:rsidRDefault="006E179D" w:rsidP="006E179D">
      <w:pPr>
        <w:pStyle w:val="a6"/>
        <w:tabs>
          <w:tab w:val="left" w:pos="709"/>
        </w:tabs>
        <w:snapToGrid w:val="0"/>
        <w:spacing w:before="0" w:after="0"/>
        <w:jc w:val="both"/>
        <w:rPr>
          <w:color w:val="000000"/>
          <w:lang w:eastAsia="uk-UA"/>
        </w:rPr>
      </w:pPr>
    </w:p>
    <w:p w:rsidR="006E179D" w:rsidRDefault="006E179D" w:rsidP="006E179D">
      <w:pPr>
        <w:pStyle w:val="a6"/>
        <w:tabs>
          <w:tab w:val="left" w:pos="709"/>
        </w:tabs>
        <w:snapToGrid w:val="0"/>
        <w:spacing w:before="0" w:after="0"/>
        <w:jc w:val="both"/>
        <w:rPr>
          <w:color w:val="000000"/>
          <w:lang w:eastAsia="uk-UA"/>
        </w:rPr>
      </w:pPr>
    </w:p>
    <w:p w:rsidR="006E179D" w:rsidRDefault="006E179D" w:rsidP="006E179D">
      <w:pPr>
        <w:pStyle w:val="a6"/>
        <w:tabs>
          <w:tab w:val="left" w:pos="709"/>
        </w:tabs>
        <w:snapToGrid w:val="0"/>
        <w:spacing w:before="0" w:after="0"/>
        <w:jc w:val="both"/>
        <w:rPr>
          <w:color w:val="000000"/>
          <w:lang w:eastAsia="uk-UA"/>
        </w:rPr>
      </w:pPr>
    </w:p>
    <w:p w:rsidR="006E179D" w:rsidRDefault="006E179D" w:rsidP="006E179D">
      <w:pPr>
        <w:pStyle w:val="a6"/>
        <w:tabs>
          <w:tab w:val="left" w:pos="709"/>
        </w:tabs>
        <w:snapToGrid w:val="0"/>
        <w:spacing w:before="0" w:after="0"/>
        <w:jc w:val="both"/>
        <w:rPr>
          <w:color w:val="000000"/>
          <w:lang w:eastAsia="uk-UA"/>
        </w:rPr>
      </w:pPr>
    </w:p>
    <w:p w:rsidR="006E179D" w:rsidRPr="000D7DD2" w:rsidRDefault="006E179D" w:rsidP="006E179D">
      <w:pPr>
        <w:pStyle w:val="a6"/>
        <w:tabs>
          <w:tab w:val="left" w:pos="709"/>
        </w:tabs>
        <w:snapToGrid w:val="0"/>
        <w:spacing w:before="0" w:after="0"/>
        <w:jc w:val="both"/>
        <w:rPr>
          <w:color w:val="000000"/>
          <w:lang w:eastAsia="uk-UA"/>
        </w:rPr>
      </w:pPr>
    </w:p>
    <w:p w:rsidR="006E179D" w:rsidRPr="000D7DD2" w:rsidRDefault="006E179D" w:rsidP="006E179D">
      <w:pPr>
        <w:spacing w:after="0" w:line="240" w:lineRule="auto"/>
        <w:rPr>
          <w:rFonts w:ascii="Times New Roman" w:eastAsia="Times New Roman" w:hAnsi="Times New Roman" w:cs="Times New Roman"/>
          <w:color w:val="000000"/>
          <w:sz w:val="24"/>
          <w:szCs w:val="24"/>
          <w:lang w:eastAsia="uk-UA"/>
        </w:rPr>
      </w:pPr>
    </w:p>
    <w:p w:rsidR="006E179D" w:rsidRPr="009A7B49" w:rsidRDefault="006E179D" w:rsidP="006E179D">
      <w:pPr>
        <w:spacing w:after="0" w:line="240" w:lineRule="auto"/>
        <w:ind w:right="282"/>
        <w:rPr>
          <w:rFonts w:ascii="Times New Roman" w:eastAsia="Times New Roman" w:hAnsi="Times New Roman" w:cs="Times New Roman"/>
          <w:bCs/>
          <w:color w:val="000000"/>
          <w:sz w:val="24"/>
          <w:szCs w:val="24"/>
          <w:lang w:eastAsia="uk-UA"/>
        </w:rPr>
      </w:pPr>
      <w:r w:rsidRPr="00895FC0">
        <w:rPr>
          <w:rFonts w:ascii="Times New Roman" w:eastAsia="Times New Roman" w:hAnsi="Times New Roman" w:cs="Times New Roman"/>
          <w:bCs/>
          <w:color w:val="000000"/>
          <w:sz w:val="24"/>
          <w:szCs w:val="24"/>
          <w:lang w:eastAsia="uk-UA"/>
        </w:rPr>
        <w:t xml:space="preserve">Уповноважена особа </w:t>
      </w:r>
      <w:r>
        <w:rPr>
          <w:rFonts w:ascii="Times New Roman" w:eastAsia="Times New Roman" w:hAnsi="Times New Roman" w:cs="Times New Roman"/>
          <w:bCs/>
          <w:color w:val="000000"/>
          <w:sz w:val="24"/>
          <w:szCs w:val="24"/>
          <w:lang w:eastAsia="uk-UA"/>
        </w:rPr>
        <w:t xml:space="preserve">              </w:t>
      </w:r>
      <w:r w:rsidRPr="00895FC0">
        <w:rPr>
          <w:rFonts w:ascii="Times New Roman" w:eastAsia="Times New Roman" w:hAnsi="Times New Roman" w:cs="Times New Roman"/>
          <w:bCs/>
          <w:color w:val="000000"/>
          <w:sz w:val="24"/>
          <w:szCs w:val="24"/>
          <w:lang w:eastAsia="uk-UA"/>
        </w:rPr>
        <w:t xml:space="preserve">__________________   </w:t>
      </w:r>
      <w:r>
        <w:rPr>
          <w:rFonts w:ascii="Times New Roman" w:eastAsia="Times New Roman" w:hAnsi="Times New Roman" w:cs="Times New Roman"/>
          <w:bCs/>
          <w:color w:val="000000"/>
          <w:sz w:val="24"/>
          <w:szCs w:val="24"/>
          <w:lang w:eastAsia="uk-UA"/>
        </w:rPr>
        <w:t xml:space="preserve">       Інна</w:t>
      </w:r>
      <w:r w:rsidRPr="00895FC0">
        <w:rPr>
          <w:rFonts w:ascii="Times New Roman" w:eastAsia="Times New Roman" w:hAnsi="Times New Roman" w:cs="Times New Roman"/>
          <w:bCs/>
          <w:color w:val="000000"/>
          <w:sz w:val="24"/>
          <w:szCs w:val="24"/>
          <w:lang w:eastAsia="uk-UA"/>
        </w:rPr>
        <w:t xml:space="preserve"> ВІННІЧУК</w:t>
      </w:r>
    </w:p>
    <w:p w:rsidR="00BF0916" w:rsidRDefault="006E179D">
      <w:bookmarkStart w:id="0" w:name="_GoBack"/>
      <w:bookmarkEnd w:id="0"/>
    </w:p>
    <w:sectPr w:rsidR="00BF0916" w:rsidSect="00D53F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9DC"/>
    <w:rsid w:val="003341D5"/>
    <w:rsid w:val="003C4836"/>
    <w:rsid w:val="006E179D"/>
    <w:rsid w:val="00781050"/>
    <w:rsid w:val="009649DC"/>
    <w:rsid w:val="00B42CF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DCCEDF-FDBC-48F7-946C-2C1A7CEC5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179D"/>
    <w:pPr>
      <w:spacing w:after="160" w:line="259" w:lineRule="auto"/>
    </w:pPr>
    <w:rPr>
      <w:rFonts w:asciiTheme="minorHAnsi" w:eastAsiaTheme="minorHAnsi" w:hAnsiTheme="minorHAnsi" w:cstheme="minorBidi"/>
      <w:sz w:val="22"/>
      <w:szCs w:val="22"/>
    </w:rPr>
  </w:style>
  <w:style w:type="paragraph" w:styleId="2">
    <w:name w:val="heading 2"/>
    <w:basedOn w:val="a"/>
    <w:next w:val="a"/>
    <w:link w:val="20"/>
    <w:qFormat/>
    <w:rsid w:val="003C4836"/>
    <w:pPr>
      <w:keepNext/>
      <w:spacing w:after="0" w:line="240" w:lineRule="auto"/>
      <w:ind w:left="1440" w:firstLine="720"/>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3C4836"/>
    <w:rPr>
      <w:sz w:val="28"/>
      <w:lang w:eastAsia="ru-RU"/>
    </w:rPr>
  </w:style>
  <w:style w:type="paragraph" w:styleId="a3">
    <w:name w:val="caption"/>
    <w:basedOn w:val="a"/>
    <w:next w:val="a"/>
    <w:qFormat/>
    <w:rsid w:val="003C4836"/>
    <w:pPr>
      <w:suppressAutoHyphens/>
      <w:spacing w:before="120" w:after="0" w:line="240" w:lineRule="auto"/>
      <w:jc w:val="center"/>
    </w:pPr>
    <w:rPr>
      <w:rFonts w:ascii="Times New Roman" w:eastAsia="Times New Roman" w:hAnsi="Times New Roman" w:cs="Times New Roman"/>
      <w:b/>
      <w:bCs/>
      <w:sz w:val="24"/>
      <w:szCs w:val="24"/>
      <w:lang w:eastAsia="ar-SA"/>
    </w:rPr>
  </w:style>
  <w:style w:type="paragraph" w:styleId="a4">
    <w:name w:val="List Paragraph"/>
    <w:basedOn w:val="a"/>
    <w:link w:val="a5"/>
    <w:uiPriority w:val="34"/>
    <w:qFormat/>
    <w:rsid w:val="006E179D"/>
    <w:pPr>
      <w:ind w:left="720"/>
      <w:contextualSpacing/>
    </w:pPr>
  </w:style>
  <w:style w:type="paragraph" w:styleId="a6">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Знак17,Знак17,Знак18 Знак, Знак1"/>
    <w:basedOn w:val="a"/>
    <w:link w:val="a7"/>
    <w:uiPriority w:val="99"/>
    <w:qFormat/>
    <w:rsid w:val="006E179D"/>
    <w:pPr>
      <w:suppressAutoHyphens/>
      <w:spacing w:before="280" w:after="280" w:line="240" w:lineRule="auto"/>
    </w:pPr>
    <w:rPr>
      <w:rFonts w:ascii="Times New Roman" w:eastAsia="Times New Roman" w:hAnsi="Times New Roman" w:cs="Times New Roman"/>
      <w:sz w:val="24"/>
      <w:szCs w:val="24"/>
      <w:lang w:eastAsia="zh-CN"/>
    </w:rPr>
  </w:style>
  <w:style w:type="character" w:customStyle="1" w:styleId="a7">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6"/>
    <w:uiPriority w:val="99"/>
    <w:locked/>
    <w:rsid w:val="006E179D"/>
    <w:rPr>
      <w:sz w:val="24"/>
      <w:szCs w:val="24"/>
      <w:lang w:eastAsia="zh-CN"/>
    </w:rPr>
  </w:style>
  <w:style w:type="character" w:customStyle="1" w:styleId="a5">
    <w:name w:val="Абзац списку Знак"/>
    <w:link w:val="a4"/>
    <w:uiPriority w:val="34"/>
    <w:rsid w:val="006E179D"/>
    <w:rPr>
      <w:rFonts w:asciiTheme="minorHAnsi" w:eastAsiaTheme="minorHAnsi" w:hAnsiTheme="minorHAnsi" w:cstheme="minorBidi"/>
      <w:sz w:val="22"/>
      <w:szCs w:val="22"/>
    </w:rPr>
  </w:style>
  <w:style w:type="paragraph" w:customStyle="1" w:styleId="TableParagraph">
    <w:name w:val="Table Paragraph"/>
    <w:basedOn w:val="a"/>
    <w:rsid w:val="006E179D"/>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3378</Words>
  <Characters>1927</Characters>
  <Application>Microsoft Office Word</Application>
  <DocSecurity>0</DocSecurity>
  <Lines>16</Lines>
  <Paragraphs>10</Paragraphs>
  <ScaleCrop>false</ScaleCrop>
  <Company/>
  <LinksUpToDate>false</LinksUpToDate>
  <CharactersWithSpaces>5295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Віннічук Інна Володимирівна</dc:creator>
  <cp:keywords/>
  <dc:description/>
  <cp:lastModifiedBy>Віннічук Інна Володимирівна</cp:lastModifiedBy>
  <cp:revision>2</cp:revision>
  <dcterms:created xsi:type="dcterms:W3CDTF">2022-11-14T09:06:00Z</dcterms:created>
  <dcterms:modified xsi:type="dcterms:W3CDTF">2022-11-14T09:07:00Z</dcterms:modified>
</cp:coreProperties>
</file>