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3B6A4FF8" w:rsidR="00632F48" w:rsidRPr="00204B1A" w:rsidRDefault="00923D5F" w:rsidP="00B7627B">
      <w:pPr>
        <w:tabs>
          <w:tab w:val="left" w:pos="1134"/>
        </w:tabs>
        <w:ind w:right="-992"/>
        <w:jc w:val="center"/>
        <w:rPr>
          <w:rFonts w:ascii="Times New Roman" w:hAnsi="Times New Roman" w:cs="Times New Roman"/>
          <w:b/>
          <w:sz w:val="24"/>
          <w:szCs w:val="24"/>
        </w:rPr>
      </w:pPr>
      <w:bookmarkStart w:id="0" w:name="_GoBack"/>
      <w:bookmarkEnd w:id="0"/>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18829265" w14:textId="77AB4CEC" w:rsidR="000C6148" w:rsidRPr="00424C7D" w:rsidRDefault="00B7627B" w:rsidP="00424C7D">
      <w:pPr>
        <w:suppressLineNumbers/>
        <w:tabs>
          <w:tab w:val="left" w:pos="284"/>
          <w:tab w:val="left" w:pos="540"/>
        </w:tabs>
        <w:spacing w:after="0"/>
        <w:ind w:left="-180"/>
        <w:jc w:val="center"/>
        <w:rPr>
          <w:rFonts w:ascii="Times New Roman" w:hAnsi="Times New Roman" w:cs="Times New Roman"/>
          <w:b/>
          <w:color w:val="000000"/>
          <w:sz w:val="24"/>
          <w:szCs w:val="24"/>
          <w:lang w:eastAsia="uk-UA"/>
        </w:rPr>
      </w:pPr>
      <w:r w:rsidRPr="00B7627B">
        <w:rPr>
          <w:rFonts w:ascii="Times New Roman" w:hAnsi="Times New Roman" w:cs="Times New Roman"/>
          <w:b/>
          <w:snapToGrid w:val="0"/>
          <w:color w:val="000000"/>
          <w:sz w:val="24"/>
          <w:szCs w:val="24"/>
          <w:lang w:eastAsia="ru-RU"/>
        </w:rPr>
        <w:t>«Послуги щодо розробки Плану дій сталого енергетичного розвитку та клімату Хмельницької міської територіальної громади на період до 2050 року, код ДК 021:2015-90710000-7 Екологічний менеджмент»</w:t>
      </w:r>
    </w:p>
    <w:p w14:paraId="5281586E" w14:textId="77777777" w:rsidR="000C6148" w:rsidRPr="00D41EA3" w:rsidRDefault="000C6148" w:rsidP="000C6148">
      <w:pPr>
        <w:suppressLineNumbers/>
        <w:tabs>
          <w:tab w:val="left" w:pos="284"/>
          <w:tab w:val="left" w:pos="540"/>
        </w:tabs>
        <w:spacing w:after="0"/>
        <w:ind w:left="-180"/>
        <w:jc w:val="center"/>
        <w:rPr>
          <w:rFonts w:ascii="Times New Roman" w:hAnsi="Times New Roman" w:cs="Times New Roman"/>
          <w:color w:val="000000"/>
          <w:lang w:eastAsia="uk-UA"/>
        </w:rPr>
      </w:pPr>
    </w:p>
    <w:p w14:paraId="265B130B" w14:textId="2E7116D1" w:rsidR="0024753F" w:rsidRDefault="00E87E78" w:rsidP="00C12E9D">
      <w:pPr>
        <w:ind w:firstLine="709"/>
        <w:jc w:val="both"/>
        <w:rPr>
          <w:rFonts w:ascii="Times New Roman" w:eastAsia="Times New Roman" w:hAnsi="Times New Roman" w:cs="Times New Roman"/>
          <w:color w:val="000000"/>
          <w:sz w:val="24"/>
          <w:szCs w:val="24"/>
          <w:lang w:eastAsia="uk-UA"/>
        </w:rPr>
      </w:pPr>
      <w:r w:rsidRPr="00E87E78">
        <w:rPr>
          <w:rFonts w:ascii="Times New Roman" w:eastAsia="Times New Roman" w:hAnsi="Times New Roman" w:cs="Times New Roman"/>
          <w:color w:val="000000"/>
          <w:sz w:val="24"/>
          <w:szCs w:val="24"/>
          <w:lang w:eastAsia="uk-UA"/>
        </w:rPr>
        <w:t xml:space="preserve">Закупівля здійснюється з метою </w:t>
      </w:r>
      <w:r w:rsidR="0024753F">
        <w:rPr>
          <w:rFonts w:ascii="Times New Roman" w:eastAsia="Times New Roman" w:hAnsi="Times New Roman" w:cs="Times New Roman"/>
          <w:color w:val="000000"/>
          <w:sz w:val="24"/>
          <w:szCs w:val="24"/>
          <w:lang w:eastAsia="uk-UA"/>
        </w:rPr>
        <w:t>виконання зобов’язань громади в рамках ініціативи Угода мерів та забезпечення стратегічного планування у сфері енергетики та клімату Хмельницької міської територіальної громади</w:t>
      </w:r>
      <w:r w:rsidR="00227DD4">
        <w:rPr>
          <w:rFonts w:ascii="Times New Roman" w:eastAsia="Times New Roman" w:hAnsi="Times New Roman" w:cs="Times New Roman"/>
          <w:color w:val="000000"/>
          <w:sz w:val="24"/>
          <w:szCs w:val="24"/>
          <w:lang w:eastAsia="uk-UA"/>
        </w:rPr>
        <w:t>.</w:t>
      </w:r>
      <w:r w:rsidRPr="00E87E78">
        <w:rPr>
          <w:rFonts w:ascii="Times New Roman" w:eastAsia="Times New Roman" w:hAnsi="Times New Roman" w:cs="Times New Roman"/>
          <w:color w:val="000000"/>
          <w:sz w:val="24"/>
          <w:szCs w:val="24"/>
          <w:lang w:eastAsia="uk-UA"/>
        </w:rPr>
        <w:t xml:space="preserve"> </w:t>
      </w:r>
      <w:r w:rsidR="00227DD4">
        <w:rPr>
          <w:rFonts w:ascii="Times New Roman" w:eastAsia="Times New Roman" w:hAnsi="Times New Roman" w:cs="Times New Roman"/>
          <w:color w:val="000000"/>
          <w:sz w:val="24"/>
          <w:szCs w:val="24"/>
          <w:lang w:eastAsia="uk-UA"/>
        </w:rPr>
        <w:t>Потреба, технічні та якісні характеристики, визначені у відповідності до листів</w:t>
      </w:r>
      <w:r w:rsidRPr="00E87E78">
        <w:rPr>
          <w:rFonts w:ascii="Times New Roman" w:eastAsia="Times New Roman" w:hAnsi="Times New Roman" w:cs="Times New Roman"/>
          <w:color w:val="000000"/>
          <w:sz w:val="24"/>
          <w:szCs w:val="24"/>
          <w:lang w:eastAsia="uk-UA"/>
        </w:rPr>
        <w:t xml:space="preserve"> </w:t>
      </w:r>
      <w:r w:rsidR="00A137F7">
        <w:rPr>
          <w:rFonts w:ascii="Times New Roman" w:eastAsia="Times New Roman" w:hAnsi="Times New Roman" w:cs="Times New Roman"/>
          <w:color w:val="000000"/>
          <w:sz w:val="24"/>
          <w:szCs w:val="24"/>
          <w:lang w:eastAsia="uk-UA"/>
        </w:rPr>
        <w:t xml:space="preserve">відділу енергоменеджменту </w:t>
      </w:r>
      <w:r w:rsidRPr="00D41EA3">
        <w:rPr>
          <w:rFonts w:ascii="Times New Roman" w:eastAsia="Times New Roman" w:hAnsi="Times New Roman" w:cs="Times New Roman"/>
          <w:color w:val="000000"/>
          <w:sz w:val="24"/>
          <w:szCs w:val="24"/>
          <w:lang w:eastAsia="uk-UA"/>
        </w:rPr>
        <w:t>Хмельницької міської ради</w:t>
      </w:r>
      <w:r w:rsidR="00A137F7">
        <w:rPr>
          <w:rFonts w:ascii="Times New Roman" w:eastAsia="Times New Roman" w:hAnsi="Times New Roman" w:cs="Times New Roman"/>
          <w:color w:val="000000"/>
          <w:sz w:val="24"/>
          <w:szCs w:val="24"/>
          <w:lang w:eastAsia="uk-UA"/>
        </w:rPr>
        <w:t xml:space="preserve"> від 11.03</w:t>
      </w:r>
      <w:r w:rsidRPr="00E87E78">
        <w:rPr>
          <w:rFonts w:ascii="Times New Roman" w:eastAsia="Times New Roman" w:hAnsi="Times New Roman" w:cs="Times New Roman"/>
          <w:color w:val="000000"/>
          <w:sz w:val="24"/>
          <w:szCs w:val="24"/>
          <w:lang w:eastAsia="uk-UA"/>
        </w:rPr>
        <w:t>.202</w:t>
      </w:r>
      <w:r w:rsidR="00A137F7">
        <w:rPr>
          <w:rFonts w:ascii="Times New Roman" w:eastAsia="Times New Roman" w:hAnsi="Times New Roman" w:cs="Times New Roman"/>
          <w:color w:val="000000"/>
          <w:sz w:val="24"/>
          <w:szCs w:val="24"/>
          <w:lang w:eastAsia="uk-UA"/>
        </w:rPr>
        <w:t>6</w:t>
      </w:r>
      <w:r w:rsidRPr="00E87E78">
        <w:rPr>
          <w:rFonts w:ascii="Times New Roman" w:eastAsia="Times New Roman" w:hAnsi="Times New Roman" w:cs="Times New Roman"/>
          <w:color w:val="000000"/>
          <w:sz w:val="24"/>
          <w:szCs w:val="24"/>
          <w:lang w:eastAsia="uk-UA"/>
        </w:rPr>
        <w:t xml:space="preserve"> № </w:t>
      </w:r>
      <w:r w:rsidR="00A137F7">
        <w:rPr>
          <w:rFonts w:ascii="Times New Roman" w:eastAsia="Times New Roman" w:hAnsi="Times New Roman" w:cs="Times New Roman"/>
          <w:color w:val="000000"/>
          <w:sz w:val="24"/>
          <w:szCs w:val="24"/>
          <w:lang w:eastAsia="uk-UA"/>
        </w:rPr>
        <w:t>1660/12-26</w:t>
      </w:r>
      <w:r w:rsidRPr="00D41EA3">
        <w:rPr>
          <w:rFonts w:ascii="Times New Roman" w:eastAsia="Times New Roman" w:hAnsi="Times New Roman" w:cs="Times New Roman"/>
          <w:color w:val="000000"/>
          <w:sz w:val="24"/>
          <w:szCs w:val="24"/>
          <w:lang w:eastAsia="uk-UA"/>
        </w:rPr>
        <w:t xml:space="preserve"> та </w:t>
      </w:r>
      <w:r w:rsidR="00A137F7">
        <w:rPr>
          <w:rFonts w:ascii="Times New Roman" w:eastAsia="Times New Roman" w:hAnsi="Times New Roman" w:cs="Times New Roman"/>
          <w:color w:val="000000"/>
          <w:sz w:val="24"/>
          <w:szCs w:val="24"/>
          <w:lang w:eastAsia="uk-UA"/>
        </w:rPr>
        <w:t>№ 2161/12-26 від 30.03.2026.</w:t>
      </w:r>
    </w:p>
    <w:p w14:paraId="124D050B" w14:textId="77777777" w:rsidR="0024753F" w:rsidRDefault="00A0244C" w:rsidP="0024753F">
      <w:pPr>
        <w:ind w:firstLine="709"/>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Відповідно до зазначених умов</w:t>
      </w:r>
      <w:r>
        <w:rPr>
          <w:rFonts w:ascii="Times New Roman" w:eastAsia="Times New Roman" w:hAnsi="Times New Roman" w:cs="Times New Roman"/>
          <w:color w:val="000000"/>
          <w:sz w:val="24"/>
          <w:szCs w:val="24"/>
          <w:lang w:eastAsia="uk-UA"/>
        </w:rPr>
        <w:t xml:space="preserve"> тендерної документації</w:t>
      </w:r>
      <w:r w:rsidRPr="00A0244C">
        <w:rPr>
          <w:rFonts w:ascii="Times New Roman" w:eastAsia="Times New Roman" w:hAnsi="Times New Roman" w:cs="Times New Roman"/>
          <w:color w:val="000000"/>
          <w:sz w:val="24"/>
          <w:szCs w:val="24"/>
          <w:lang w:eastAsia="uk-UA"/>
        </w:rPr>
        <w:t xml:space="preserve"> очікувана вартість предмета закупівлі становить</w:t>
      </w:r>
      <w:r>
        <w:rPr>
          <w:rFonts w:ascii="Times New Roman" w:eastAsia="Times New Roman" w:hAnsi="Times New Roman" w:cs="Times New Roman"/>
          <w:color w:val="000000"/>
          <w:sz w:val="24"/>
          <w:szCs w:val="24"/>
          <w:lang w:eastAsia="uk-UA"/>
        </w:rPr>
        <w:t xml:space="preserve"> </w:t>
      </w:r>
      <w:r w:rsidR="0024753F">
        <w:rPr>
          <w:rFonts w:ascii="Times New Roman" w:eastAsia="Times New Roman" w:hAnsi="Times New Roman" w:cs="Times New Roman"/>
          <w:b/>
          <w:bCs/>
          <w:color w:val="000000"/>
          <w:sz w:val="24"/>
          <w:szCs w:val="24"/>
          <w:lang w:eastAsia="uk-UA"/>
        </w:rPr>
        <w:t>250 000</w:t>
      </w:r>
      <w:r w:rsidR="00E87E78" w:rsidRPr="00E87E78">
        <w:rPr>
          <w:rFonts w:ascii="Times New Roman" w:eastAsia="Times New Roman" w:hAnsi="Times New Roman" w:cs="Times New Roman"/>
          <w:b/>
          <w:bCs/>
          <w:color w:val="000000"/>
          <w:sz w:val="24"/>
          <w:szCs w:val="24"/>
          <w:lang w:eastAsia="uk-UA"/>
        </w:rPr>
        <w:t xml:space="preserve"> грн</w:t>
      </w:r>
      <w:r w:rsidR="00E87E78" w:rsidRPr="00E87E78">
        <w:rPr>
          <w:rFonts w:ascii="Times New Roman" w:eastAsia="Times New Roman" w:hAnsi="Times New Roman" w:cs="Times New Roman"/>
          <w:color w:val="000000"/>
          <w:sz w:val="24"/>
          <w:szCs w:val="24"/>
          <w:lang w:eastAsia="uk-UA"/>
        </w:rPr>
        <w:t xml:space="preserve">, кількість – </w:t>
      </w:r>
      <w:r w:rsidR="00700972" w:rsidRPr="00D41EA3">
        <w:rPr>
          <w:rFonts w:ascii="Times New Roman" w:eastAsia="Times New Roman" w:hAnsi="Times New Roman" w:cs="Times New Roman"/>
          <w:color w:val="000000"/>
          <w:sz w:val="24"/>
          <w:szCs w:val="24"/>
          <w:lang w:eastAsia="uk-UA"/>
        </w:rPr>
        <w:t xml:space="preserve">1 </w:t>
      </w:r>
      <w:r w:rsidR="00E87E78" w:rsidRPr="00E87E78">
        <w:rPr>
          <w:rFonts w:ascii="Times New Roman" w:eastAsia="Times New Roman" w:hAnsi="Times New Roman" w:cs="Times New Roman"/>
          <w:color w:val="000000"/>
          <w:sz w:val="24"/>
          <w:szCs w:val="24"/>
          <w:lang w:eastAsia="uk-UA"/>
        </w:rPr>
        <w:t>послуг</w:t>
      </w:r>
      <w:r w:rsidR="00700972" w:rsidRPr="00D41EA3">
        <w:rPr>
          <w:rFonts w:ascii="Times New Roman" w:eastAsia="Times New Roman" w:hAnsi="Times New Roman" w:cs="Times New Roman"/>
          <w:color w:val="000000"/>
          <w:sz w:val="24"/>
          <w:szCs w:val="24"/>
          <w:lang w:eastAsia="uk-UA"/>
        </w:rPr>
        <w:t>а</w:t>
      </w:r>
      <w:r w:rsidR="00E87E78" w:rsidRPr="00E87E78">
        <w:rPr>
          <w:rFonts w:ascii="Times New Roman" w:eastAsia="Times New Roman" w:hAnsi="Times New Roman" w:cs="Times New Roman"/>
          <w:color w:val="000000"/>
          <w:sz w:val="24"/>
          <w:szCs w:val="24"/>
          <w:lang w:eastAsia="uk-UA"/>
        </w:rPr>
        <w:t>.</w:t>
      </w:r>
    </w:p>
    <w:p w14:paraId="339011CD" w14:textId="77777777" w:rsidR="00227DD4" w:rsidRPr="00CE0987" w:rsidRDefault="00227DD4" w:rsidP="00227DD4">
      <w:pPr>
        <w:widowControl w:val="0"/>
        <w:tabs>
          <w:tab w:val="left" w:pos="284"/>
        </w:tabs>
        <w:suppressAutoHyphens/>
        <w:autoSpaceDE w:val="0"/>
        <w:ind w:firstLine="708"/>
        <w:jc w:val="center"/>
        <w:rPr>
          <w:rFonts w:ascii="Times New Roman" w:hAnsi="Times New Roman" w:cs="Times New Roman"/>
          <w:b/>
          <w:color w:val="000000"/>
          <w:sz w:val="24"/>
          <w:szCs w:val="24"/>
          <w:u w:val="single"/>
          <w:lang w:eastAsia="uk-UA"/>
        </w:rPr>
      </w:pPr>
      <w:r w:rsidRPr="00CE0987">
        <w:rPr>
          <w:rFonts w:ascii="Times New Roman" w:hAnsi="Times New Roman" w:cs="Times New Roman"/>
          <w:b/>
          <w:color w:val="000000"/>
          <w:sz w:val="24"/>
          <w:szCs w:val="24"/>
          <w:u w:val="single"/>
          <w:lang w:eastAsia="uk-UA"/>
        </w:rPr>
        <w:t>Технічні та якісні характеристики предмета закупівлі</w:t>
      </w:r>
    </w:p>
    <w:p w14:paraId="6213FAF9" w14:textId="0A4A7348" w:rsidR="00227DD4" w:rsidRPr="00227DD4" w:rsidRDefault="00227DD4" w:rsidP="00227DD4">
      <w:pPr>
        <w:suppressLineNumbers/>
        <w:tabs>
          <w:tab w:val="left" w:pos="284"/>
          <w:tab w:val="left" w:pos="540"/>
        </w:tabs>
        <w:spacing w:after="0"/>
        <w:ind w:left="-180"/>
        <w:jc w:val="center"/>
        <w:rPr>
          <w:rFonts w:ascii="Times New Roman" w:hAnsi="Times New Roman" w:cs="Times New Roman"/>
          <w:b/>
          <w:color w:val="000000"/>
          <w:sz w:val="24"/>
          <w:szCs w:val="24"/>
          <w:lang w:eastAsia="uk-UA"/>
        </w:rPr>
      </w:pPr>
      <w:r w:rsidRPr="00B7627B">
        <w:rPr>
          <w:rFonts w:ascii="Times New Roman" w:hAnsi="Times New Roman" w:cs="Times New Roman"/>
          <w:b/>
          <w:snapToGrid w:val="0"/>
          <w:color w:val="000000"/>
          <w:sz w:val="24"/>
          <w:szCs w:val="24"/>
          <w:lang w:eastAsia="ru-RU"/>
        </w:rPr>
        <w:t>«Послуги щодо розробки Плану дій сталого енергетичного розвитку та клімату Хмельницької міської територіальної громади на період до 2050 року, код ДК 021:2015-90710000-7 Екологічний менеджмент»</w:t>
      </w:r>
    </w:p>
    <w:p w14:paraId="119C31B7" w14:textId="0A4A2C61" w:rsidR="0024753F" w:rsidRPr="0024753F" w:rsidRDefault="0024753F" w:rsidP="0024753F">
      <w:pPr>
        <w:ind w:firstLine="709"/>
        <w:jc w:val="both"/>
        <w:rPr>
          <w:rFonts w:ascii="Times New Roman" w:eastAsia="Times New Roman" w:hAnsi="Times New Roman" w:cs="Times New Roman"/>
          <w:color w:val="000000"/>
          <w:sz w:val="24"/>
          <w:szCs w:val="24"/>
          <w:lang w:eastAsia="uk-UA"/>
        </w:rPr>
      </w:pPr>
      <w:r w:rsidRPr="0024753F">
        <w:rPr>
          <w:rFonts w:ascii="Times New Roman" w:eastAsia="Times New Roman" w:hAnsi="Times New Roman" w:cs="Times New Roman"/>
          <w:color w:val="000000"/>
          <w:sz w:val="24"/>
          <w:szCs w:val="24"/>
          <w:lang w:eastAsia="ru-RU"/>
        </w:rPr>
        <w:t>План дій сталого енергетичного розвитку та клімату (ПДСЕРК) повинен бути розроблений у повній відповідності до чинної методології Об’єднаного дослідницького центру (JRC) Європейської Комісії. Розробка ПДСЕРК має базуватися на технічних настановах посібника «Як розробити План дій сталого енергетичного розвитку та клімату (ПДСЕРК)» (версія для країн Східного партнерства) з урахуванням актуальних стратегічних оновлень методології JRC 2024–2025 років щодо цілей кліматичної нейтральності, адаптації до змін клімату та подолання енергетичної бідності».</w:t>
      </w:r>
    </w:p>
    <w:p w14:paraId="302BEB75" w14:textId="77777777" w:rsidR="0024753F" w:rsidRPr="0024753F" w:rsidRDefault="0024753F" w:rsidP="0024753F">
      <w:pPr>
        <w:spacing w:after="0"/>
        <w:ind w:firstLine="709"/>
        <w:jc w:val="both"/>
        <w:outlineLvl w:val="0"/>
        <w:rPr>
          <w:rFonts w:ascii="Times New Roman" w:hAnsi="Times New Roman" w:cs="Times New Roman"/>
          <w:b/>
          <w:bCs/>
          <w:sz w:val="24"/>
          <w:szCs w:val="24"/>
        </w:rPr>
      </w:pPr>
      <w:r w:rsidRPr="0024753F">
        <w:rPr>
          <w:rFonts w:ascii="Times New Roman" w:hAnsi="Times New Roman" w:cs="Times New Roman"/>
          <w:b/>
          <w:bCs/>
          <w:sz w:val="24"/>
          <w:szCs w:val="24"/>
        </w:rPr>
        <w:t>Загальні вимоги</w:t>
      </w:r>
    </w:p>
    <w:p w14:paraId="1FF4C744"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Використовувати дані щонайменше за останні 8 повних років (до 2025 включно).</w:t>
      </w:r>
    </w:p>
    <w:p w14:paraId="0C8D346D"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Усі сектори повинні бути представлені в обох розділах 2 та 3: </w:t>
      </w:r>
    </w:p>
    <w:p w14:paraId="20210055"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 xml:space="preserve">громадські будівлі, </w:t>
      </w:r>
    </w:p>
    <w:p w14:paraId="2D168257"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 xml:space="preserve">житлові будинки, </w:t>
      </w:r>
    </w:p>
    <w:p w14:paraId="539305B1"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 xml:space="preserve">третинний сектор, </w:t>
      </w:r>
    </w:p>
    <w:p w14:paraId="4A4E3915"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 xml:space="preserve">вуличне освітлення, </w:t>
      </w:r>
    </w:p>
    <w:p w14:paraId="35F0B60B"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транспорт (громадський, комунальний, приватний і комерційний)</w:t>
      </w:r>
    </w:p>
    <w:p w14:paraId="6E848E8C"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виробництво енергії (теплової і електричної),</w:t>
      </w:r>
    </w:p>
    <w:p w14:paraId="6E5D86CB"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 xml:space="preserve">водопостачання/водовідведення, </w:t>
      </w:r>
    </w:p>
    <w:p w14:paraId="1509165B"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управління відходами.</w:t>
      </w:r>
    </w:p>
    <w:p w14:paraId="18AB573C"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Всі дані споживання теплової енергії повинні бути нормалізовані за погодними умовами (з використанням градусо-днів опалення), щоб виключити вплив температурних коливань на розрахунки базової лінії.</w:t>
      </w:r>
    </w:p>
    <w:p w14:paraId="003E58CA"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Всі розрахунки та джерела даних повинні бути документовані.</w:t>
      </w:r>
    </w:p>
    <w:p w14:paraId="72E0F580"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Цілі та заходи до 2030 р. узгоджуються з МЕП на етапі розробки ПДСЕРК.</w:t>
      </w:r>
    </w:p>
    <w:p w14:paraId="3B373194"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Формування діаграм Sankey для енергетичного балансу обов’язкове.</w:t>
      </w:r>
    </w:p>
    <w:p w14:paraId="4F75C937"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Виконавець повинен використовувати GIS-карти, що відображають просторове планування території громади, зонування землекористування, розташування енергетичних об’єктів та критичної інфраструктури, для підтримки просторового енергетичного планування та заходів ПДСЕРК.</w:t>
      </w:r>
    </w:p>
    <w:p w14:paraId="74B523A3"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lastRenderedPageBreak/>
        <w:t>Всі таблиці ризиків, вразливості та індикаторів повинні бути підготовлені за структурою та колонками, визначеними у шаблонах ПДСЕРК, щоб забезпечити уніфіковану структуру, повноту інформації та можливість подальшого моніторингу (MRV).</w:t>
      </w:r>
    </w:p>
    <w:p w14:paraId="64250A31" w14:textId="77777777" w:rsidR="0024753F" w:rsidRPr="0024753F" w:rsidRDefault="0024753F" w:rsidP="0024753F">
      <w:pPr>
        <w:spacing w:after="0"/>
        <w:ind w:firstLine="709"/>
        <w:jc w:val="both"/>
        <w:rPr>
          <w:rFonts w:ascii="Times New Roman" w:hAnsi="Times New Roman" w:cs="Times New Roman"/>
          <w:sz w:val="24"/>
          <w:szCs w:val="24"/>
        </w:rPr>
      </w:pPr>
    </w:p>
    <w:p w14:paraId="7C04DBE1" w14:textId="77777777" w:rsidR="0024753F" w:rsidRPr="0024753F" w:rsidRDefault="0024753F" w:rsidP="0024753F">
      <w:pPr>
        <w:spacing w:after="0"/>
        <w:ind w:firstLine="709"/>
        <w:jc w:val="both"/>
        <w:outlineLvl w:val="0"/>
        <w:rPr>
          <w:rFonts w:ascii="Times New Roman" w:hAnsi="Times New Roman" w:cs="Times New Roman"/>
          <w:b/>
          <w:bCs/>
          <w:sz w:val="24"/>
          <w:szCs w:val="24"/>
        </w:rPr>
      </w:pPr>
      <w:r w:rsidRPr="0024753F">
        <w:rPr>
          <w:rFonts w:ascii="Times New Roman" w:hAnsi="Times New Roman" w:cs="Times New Roman"/>
          <w:b/>
          <w:bCs/>
          <w:sz w:val="24"/>
          <w:szCs w:val="24"/>
        </w:rPr>
        <w:t>Вимоги по розділах</w:t>
      </w:r>
    </w:p>
    <w:p w14:paraId="61743E06"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Резюме</w:t>
      </w:r>
    </w:p>
    <w:p w14:paraId="437C4C9D"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короткий виклад змісту документа, основних висновків та рекомендацій.</w:t>
      </w:r>
    </w:p>
    <w:p w14:paraId="1293F41C"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Обсяг: 1–2 сторінки.</w:t>
      </w:r>
    </w:p>
    <w:p w14:paraId="51089E2D"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Результат: підсумкові цифри по секторах, основні ризики, ключові заходи.</w:t>
      </w:r>
    </w:p>
    <w:p w14:paraId="52A9138A"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Вступна частина</w:t>
      </w:r>
    </w:p>
    <w:p w14:paraId="3B5F8441"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опис діючої енергетичної та кліматичної політики громади, досвід участі в Угоді мерів.</w:t>
      </w:r>
    </w:p>
    <w:p w14:paraId="5A617366"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Пояснити мету ПДСЕРК, терміни виконання та принцип інтеграції пом’якшення/адаптації.</w:t>
      </w:r>
    </w:p>
    <w:p w14:paraId="6794FC53" w14:textId="77777777" w:rsidR="0024753F" w:rsidRPr="0024753F" w:rsidRDefault="0024753F" w:rsidP="0024753F">
      <w:pPr>
        <w:spacing w:after="0"/>
        <w:ind w:firstLine="709"/>
        <w:jc w:val="both"/>
        <w:rPr>
          <w:rFonts w:ascii="Times New Roman" w:hAnsi="Times New Roman" w:cs="Times New Roman"/>
          <w:sz w:val="24"/>
          <w:szCs w:val="24"/>
        </w:rPr>
      </w:pPr>
    </w:p>
    <w:p w14:paraId="59A0E80C"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1. Загальна характеристика громади</w:t>
      </w:r>
    </w:p>
    <w:p w14:paraId="0CF303C8"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описати демографію, економічний профіль, структуру забудови, ключові об’єкти.</w:t>
      </w:r>
    </w:p>
    <w:p w14:paraId="61E4C6F4"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Сформувати сценарії розвитку громади до 2030 та 2050.</w:t>
      </w:r>
    </w:p>
    <w:p w14:paraId="20B15A6E"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Узгодити з існуючими стратегічними, програмними та нормативними документами, які можуть бути дотичні до ПДСЕРК (Нормативно-правова база ПДСЕРК). Має бути розроблена візуальна схема енергетичної та кліматичної політики міста та взаємодія із документами.</w:t>
      </w:r>
    </w:p>
    <w:p w14:paraId="4EE6F4FE"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Планування території і її використання, зокрема аналіз території та її зонування щодо цільового використання землі (використання ГІС систем), аналіз містобудівної документації</w:t>
      </w:r>
    </w:p>
    <w:p w14:paraId="0D51959C"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p>
    <w:p w14:paraId="0DE53347" w14:textId="77777777" w:rsidR="0024753F" w:rsidRPr="0024753F" w:rsidRDefault="0024753F" w:rsidP="0024753F">
      <w:pPr>
        <w:keepNext/>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2. Енергетичний баланс громади</w:t>
      </w:r>
    </w:p>
    <w:p w14:paraId="2CECE7B6"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 цьому розділі потрібно подати опис поточного стану основних секторів громади та проаналізувати дані по основних енергетичних ресурсах, які виробляються та споживаються в громаді. Необхідно проаналізувати дані щонайменше за 8 останніх років у розрізі секторів та енергоресурсів. Характеристика секторів має бути достатньою для того, щоб можна було розробити базову лінію енергоспоживання на період до 2030 року та 2050 року, а також має містити:</w:t>
      </w:r>
    </w:p>
    <w:p w14:paraId="1781FE72" w14:textId="77777777" w:rsidR="0024753F" w:rsidRPr="0024753F" w:rsidRDefault="0024753F" w:rsidP="00ED6E19">
      <w:pPr>
        <w:pStyle w:val="a3"/>
        <w:numPr>
          <w:ilvl w:val="0"/>
          <w:numId w:val="26"/>
        </w:numPr>
        <w:tabs>
          <w:tab w:val="left" w:pos="993"/>
        </w:tabs>
        <w:spacing w:after="0" w:line="240" w:lineRule="auto"/>
        <w:ind w:left="0" w:firstLine="709"/>
        <w:contextualSpacing w:val="0"/>
        <w:jc w:val="both"/>
        <w:rPr>
          <w:rFonts w:ascii="Times New Roman" w:hAnsi="Times New Roman" w:cs="Times New Roman"/>
          <w:sz w:val="24"/>
          <w:szCs w:val="24"/>
        </w:rPr>
      </w:pPr>
      <w:r w:rsidRPr="0024753F">
        <w:rPr>
          <w:rFonts w:ascii="Times New Roman" w:hAnsi="Times New Roman" w:cs="Times New Roman"/>
          <w:sz w:val="24"/>
          <w:szCs w:val="24"/>
        </w:rPr>
        <w:t>Огляд потенціалу використання відновлювальної енергії у громаді (основні встановлені потужності та потенціал)</w:t>
      </w:r>
    </w:p>
    <w:p w14:paraId="710B2045" w14:textId="77777777" w:rsidR="0024753F" w:rsidRPr="0024753F" w:rsidRDefault="0024753F" w:rsidP="00ED6E19">
      <w:pPr>
        <w:pStyle w:val="a3"/>
        <w:numPr>
          <w:ilvl w:val="0"/>
          <w:numId w:val="26"/>
        </w:numPr>
        <w:tabs>
          <w:tab w:val="left" w:pos="993"/>
        </w:tabs>
        <w:spacing w:after="0" w:line="240" w:lineRule="auto"/>
        <w:ind w:left="0" w:firstLine="709"/>
        <w:contextualSpacing w:val="0"/>
        <w:jc w:val="both"/>
        <w:rPr>
          <w:rFonts w:ascii="Times New Roman" w:hAnsi="Times New Roman" w:cs="Times New Roman"/>
          <w:sz w:val="24"/>
          <w:szCs w:val="24"/>
        </w:rPr>
      </w:pPr>
      <w:r w:rsidRPr="0024753F">
        <w:rPr>
          <w:rFonts w:ascii="Times New Roman" w:hAnsi="Times New Roman" w:cs="Times New Roman"/>
          <w:sz w:val="24"/>
          <w:szCs w:val="24"/>
        </w:rPr>
        <w:t>Просторове енергетичне планування та розвиток сфери теплозабезпечення громади</w:t>
      </w:r>
    </w:p>
    <w:p w14:paraId="52E1F47F" w14:textId="77777777" w:rsidR="0024753F" w:rsidRPr="0024753F" w:rsidRDefault="0024753F" w:rsidP="00ED6E19">
      <w:pPr>
        <w:pStyle w:val="a3"/>
        <w:numPr>
          <w:ilvl w:val="0"/>
          <w:numId w:val="26"/>
        </w:numPr>
        <w:tabs>
          <w:tab w:val="left" w:pos="993"/>
        </w:tabs>
        <w:spacing w:after="0" w:line="240" w:lineRule="auto"/>
        <w:ind w:left="0" w:firstLine="709"/>
        <w:contextualSpacing w:val="0"/>
        <w:jc w:val="both"/>
        <w:rPr>
          <w:rFonts w:ascii="Times New Roman" w:hAnsi="Times New Roman" w:cs="Times New Roman"/>
          <w:sz w:val="24"/>
          <w:szCs w:val="24"/>
        </w:rPr>
      </w:pPr>
      <w:r w:rsidRPr="0024753F">
        <w:rPr>
          <w:rFonts w:ascii="Times New Roman" w:hAnsi="Times New Roman" w:cs="Times New Roman"/>
          <w:sz w:val="24"/>
          <w:szCs w:val="24"/>
        </w:rPr>
        <w:t>Бенчмаркінг основних енергетичних показників та вартісний баланс енергоресурсів (відповідно до Методології розробки МЕП).</w:t>
      </w:r>
    </w:p>
    <w:p w14:paraId="416D88AC"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Енергетичний баланс:</w:t>
      </w:r>
    </w:p>
    <w:p w14:paraId="222114D7"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повинен бути сформований по громаді за видами палива на підставі зібраних даних щонайменше за останніх 8 років (до 2025 включно);</w:t>
      </w:r>
    </w:p>
    <w:p w14:paraId="6A293439"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має містити короткий огляд основних споживачів енергоресурсів, зокрема по секторах (визначених на початку ТЗ).</w:t>
      </w:r>
    </w:p>
    <w:p w14:paraId="49C570C8"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Додатково подається у вигляді діаграми </w:t>
      </w:r>
      <w:r w:rsidRPr="0024753F">
        <w:rPr>
          <w:rFonts w:ascii="Times New Roman" w:hAnsi="Times New Roman" w:cs="Times New Roman"/>
          <w:sz w:val="24"/>
          <w:szCs w:val="24"/>
          <w:lang w:val="en-US"/>
        </w:rPr>
        <w:t>Sankey</w:t>
      </w:r>
      <w:r w:rsidRPr="0024753F">
        <w:rPr>
          <w:rFonts w:ascii="Times New Roman" w:hAnsi="Times New Roman" w:cs="Times New Roman"/>
          <w:sz w:val="24"/>
          <w:szCs w:val="24"/>
        </w:rPr>
        <w:t xml:space="preserve"> та формується базова лінія енергоспоживання до 2030 року та до 2050 р. (відповідно до Методології розробки МЕП).</w:t>
      </w:r>
    </w:p>
    <w:p w14:paraId="1D509F2F" w14:textId="77777777" w:rsidR="00424C7D" w:rsidRDefault="00424C7D" w:rsidP="00227DD4">
      <w:pPr>
        <w:spacing w:after="0"/>
        <w:jc w:val="both"/>
        <w:outlineLvl w:val="1"/>
        <w:rPr>
          <w:rFonts w:ascii="Times New Roman" w:hAnsi="Times New Roman" w:cs="Times New Roman"/>
          <w:sz w:val="24"/>
          <w:szCs w:val="24"/>
        </w:rPr>
      </w:pPr>
    </w:p>
    <w:p w14:paraId="1671FE16"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3. Базовий кадастр викидів (БКВ)</w:t>
      </w:r>
    </w:p>
    <w:p w14:paraId="2E2D4339"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У цьому розділі необхідно описати методологічний підхід до інвентаризації викидів парникових газів на території громади, визначити та розрахувати коефіцієнти викидів для </w:t>
      </w:r>
      <w:r w:rsidRPr="0024753F">
        <w:rPr>
          <w:rFonts w:ascii="Times New Roman" w:hAnsi="Times New Roman" w:cs="Times New Roman"/>
          <w:sz w:val="24"/>
          <w:szCs w:val="24"/>
        </w:rPr>
        <w:lastRenderedPageBreak/>
        <w:t>БКВ, подати обґрунтування вибору ключових секторів та вибору базового року, а також подати дані про споживання енергетичних ресурсів і розрахунок БКВ по тих же секторах, що і в Розділі 2.</w:t>
      </w:r>
    </w:p>
    <w:p w14:paraId="1978A226"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Результат: інтегрований БКВ з таблицями і діаграмами.</w:t>
      </w:r>
    </w:p>
    <w:p w14:paraId="43F1475F" w14:textId="77777777" w:rsidR="0024753F" w:rsidRPr="0024753F" w:rsidRDefault="0024753F" w:rsidP="0024753F">
      <w:pPr>
        <w:spacing w:after="0"/>
        <w:ind w:firstLine="709"/>
        <w:jc w:val="both"/>
        <w:rPr>
          <w:rFonts w:ascii="Times New Roman" w:hAnsi="Times New Roman" w:cs="Times New Roman"/>
          <w:sz w:val="24"/>
          <w:szCs w:val="24"/>
        </w:rPr>
      </w:pPr>
      <w:bookmarkStart w:id="1" w:name="Last"/>
      <w:bookmarkEnd w:id="1"/>
    </w:p>
    <w:p w14:paraId="1A4BF0DD"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4. Оцінка ризиків та вразливостей</w:t>
      </w:r>
    </w:p>
    <w:p w14:paraId="6E641098"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 цьому розділі здійснюється комплексний аналіз кліматичних загроз за період щонайменше останніх 30 років із кліматичною проекцією щонайменше до 2050 року. Оцінюється рівень вразливості міста, його адаптаційний потенціал, а також визначаються вразливі сектори відповідно до методології Угоди мерів та шаблону Risks &amp; Vulnerabilities ПДСЕРК.</w:t>
      </w:r>
    </w:p>
    <w:p w14:paraId="0FDD8DE9"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розділу включає:</w:t>
      </w:r>
    </w:p>
    <w:p w14:paraId="4199CC55" w14:textId="77777777" w:rsidR="0024753F" w:rsidRPr="0024753F" w:rsidRDefault="0024753F" w:rsidP="00ED6E19">
      <w:pPr>
        <w:numPr>
          <w:ilvl w:val="0"/>
          <w:numId w:val="27"/>
        </w:numPr>
        <w:tabs>
          <w:tab w:val="clear" w:pos="720"/>
          <w:tab w:val="left" w:pos="993"/>
        </w:tabs>
        <w:spacing w:after="0" w:line="240" w:lineRule="auto"/>
        <w:ind w:left="993" w:hanging="284"/>
        <w:jc w:val="both"/>
        <w:rPr>
          <w:rFonts w:ascii="Times New Roman" w:hAnsi="Times New Roman" w:cs="Times New Roman"/>
          <w:sz w:val="24"/>
          <w:szCs w:val="24"/>
        </w:rPr>
      </w:pPr>
      <w:r w:rsidRPr="0024753F">
        <w:rPr>
          <w:rFonts w:ascii="Times New Roman" w:hAnsi="Times New Roman" w:cs="Times New Roman"/>
          <w:sz w:val="24"/>
          <w:szCs w:val="24"/>
        </w:rPr>
        <w:t>Вплив на муніципалітет/ чутливість муніципалітету до ризиків, пов’язаних зі зміною клімату, із заповненням Table 1. Climate hazards.</w:t>
      </w:r>
    </w:p>
    <w:p w14:paraId="4440A48E" w14:textId="77777777" w:rsidR="0024753F" w:rsidRPr="0024753F" w:rsidRDefault="0024753F" w:rsidP="00ED6E19">
      <w:pPr>
        <w:numPr>
          <w:ilvl w:val="0"/>
          <w:numId w:val="27"/>
        </w:numPr>
        <w:tabs>
          <w:tab w:val="left" w:pos="993"/>
        </w:tabs>
        <w:spacing w:after="0" w:line="240" w:lineRule="auto"/>
        <w:ind w:left="993" w:hanging="284"/>
        <w:jc w:val="both"/>
        <w:rPr>
          <w:rFonts w:ascii="Times New Roman" w:hAnsi="Times New Roman" w:cs="Times New Roman"/>
          <w:sz w:val="24"/>
          <w:szCs w:val="24"/>
        </w:rPr>
      </w:pPr>
      <w:r w:rsidRPr="0024753F">
        <w:rPr>
          <w:rFonts w:ascii="Times New Roman" w:hAnsi="Times New Roman" w:cs="Times New Roman"/>
          <w:sz w:val="24"/>
          <w:szCs w:val="24"/>
        </w:rPr>
        <w:t>Оцінку впливу на муніципалітет (чутливість секторів) із заповненням Table 2. Vulnerable sectors.</w:t>
      </w:r>
    </w:p>
    <w:p w14:paraId="7EF5C6F4" w14:textId="77777777" w:rsidR="0024753F" w:rsidRPr="0024753F" w:rsidRDefault="0024753F" w:rsidP="00ED6E19">
      <w:pPr>
        <w:numPr>
          <w:ilvl w:val="0"/>
          <w:numId w:val="27"/>
        </w:numPr>
        <w:tabs>
          <w:tab w:val="left" w:pos="993"/>
        </w:tabs>
        <w:spacing w:after="0" w:line="240" w:lineRule="auto"/>
        <w:ind w:left="993" w:hanging="284"/>
        <w:jc w:val="both"/>
        <w:rPr>
          <w:rFonts w:ascii="Times New Roman" w:hAnsi="Times New Roman" w:cs="Times New Roman"/>
          <w:sz w:val="24"/>
          <w:szCs w:val="24"/>
        </w:rPr>
      </w:pPr>
      <w:r w:rsidRPr="0024753F">
        <w:rPr>
          <w:rFonts w:ascii="Times New Roman" w:hAnsi="Times New Roman" w:cs="Times New Roman"/>
          <w:sz w:val="24"/>
          <w:szCs w:val="24"/>
        </w:rPr>
        <w:t>Оцінку потенціалу до адаптації із заповненням Table 3. Adaptive capacity.</w:t>
      </w:r>
    </w:p>
    <w:p w14:paraId="35DE8A02" w14:textId="77777777" w:rsidR="0024753F" w:rsidRPr="0024753F" w:rsidRDefault="0024753F" w:rsidP="00ED6E19">
      <w:pPr>
        <w:numPr>
          <w:ilvl w:val="0"/>
          <w:numId w:val="27"/>
        </w:numPr>
        <w:tabs>
          <w:tab w:val="left" w:pos="993"/>
        </w:tabs>
        <w:spacing w:after="0" w:line="240" w:lineRule="auto"/>
        <w:ind w:left="993" w:hanging="284"/>
        <w:jc w:val="both"/>
        <w:rPr>
          <w:rFonts w:ascii="Times New Roman" w:hAnsi="Times New Roman" w:cs="Times New Roman"/>
          <w:sz w:val="24"/>
          <w:szCs w:val="24"/>
        </w:rPr>
      </w:pPr>
      <w:r w:rsidRPr="0024753F">
        <w:rPr>
          <w:rFonts w:ascii="Times New Roman" w:hAnsi="Times New Roman" w:cs="Times New Roman"/>
          <w:sz w:val="24"/>
          <w:szCs w:val="24"/>
        </w:rPr>
        <w:t>Оцінку вразливих груп населення із заповненням Table 4. Vulnerable population groups.</w:t>
      </w:r>
    </w:p>
    <w:p w14:paraId="356142DF"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Очікувані результати</w:t>
      </w:r>
    </w:p>
    <w:p w14:paraId="6F4F3E2C"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 результаті виконання робіт за цим розділом мають бути:</w:t>
      </w:r>
    </w:p>
    <w:p w14:paraId="4E112408" w14:textId="77777777" w:rsidR="0024753F" w:rsidRPr="0024753F" w:rsidRDefault="0024753F" w:rsidP="00424C7D">
      <w:pPr>
        <w:numPr>
          <w:ilvl w:val="0"/>
          <w:numId w:val="28"/>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визначені ключові кліматичні загрози для міста та його секторів;</w:t>
      </w:r>
    </w:p>
    <w:p w14:paraId="02A01F1A" w14:textId="77777777" w:rsidR="0024753F" w:rsidRPr="0024753F" w:rsidRDefault="0024753F" w:rsidP="00424C7D">
      <w:pPr>
        <w:numPr>
          <w:ilvl w:val="0"/>
          <w:numId w:val="28"/>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сформовані секторальні цілі адаптації;</w:t>
      </w:r>
    </w:p>
    <w:p w14:paraId="53D5D3E7" w14:textId="77777777" w:rsidR="0024753F" w:rsidRPr="0024753F" w:rsidRDefault="0024753F" w:rsidP="00424C7D">
      <w:pPr>
        <w:numPr>
          <w:ilvl w:val="0"/>
          <w:numId w:val="28"/>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визначені відповідні індикатори для моніторингу та оцінки прогресу.</w:t>
      </w:r>
    </w:p>
    <w:p w14:paraId="4D2F2C3F"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Розробка розділу здійснюється відповідно до офіційного шаблону ПДСЕРК.</w:t>
      </w:r>
    </w:p>
    <w:p w14:paraId="25C149E0" w14:textId="77777777" w:rsidR="0024753F" w:rsidRPr="0024753F" w:rsidRDefault="0024753F" w:rsidP="0024753F">
      <w:pPr>
        <w:spacing w:after="0"/>
        <w:ind w:firstLine="709"/>
        <w:jc w:val="both"/>
        <w:rPr>
          <w:rFonts w:ascii="Times New Roman" w:hAnsi="Times New Roman" w:cs="Times New Roman"/>
          <w:sz w:val="24"/>
          <w:szCs w:val="24"/>
        </w:rPr>
      </w:pPr>
    </w:p>
    <w:p w14:paraId="033BD9D1"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5. Аналіз енергетичної безпеки та енергетичної бідності</w:t>
      </w:r>
    </w:p>
    <w:p w14:paraId="2A1FC653"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 цьому розділі основна увага приділяється забезпеченню енергетичної безпеки громади в умовах воєнної агресії російської федерації. Аналіз має охоплювати ризики для функціонування критичної інфраструктури, житлового сектору, соціальних об’єктів та систем життєзабезпечення. Особливий акцент робиться на стійкості енергопостачання, диверсифікації джерел енергії та здатності громади швидко відновлюватися після пошкоджень чи перебоїв.</w:t>
      </w:r>
    </w:p>
    <w:p w14:paraId="200815C1"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розділу:</w:t>
      </w:r>
    </w:p>
    <w:p w14:paraId="71374F0C" w14:textId="77777777" w:rsidR="0024753F" w:rsidRPr="0024753F" w:rsidRDefault="0024753F" w:rsidP="000B7821">
      <w:pPr>
        <w:numPr>
          <w:ilvl w:val="0"/>
          <w:numId w:val="29"/>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Провести оцінку стану та ризиків енергетичної безпеки громади з урахуванням воєнних загроз та можливих пошкоджень енергетичної інфраструктури.</w:t>
      </w:r>
    </w:p>
    <w:p w14:paraId="71E07991" w14:textId="77777777" w:rsidR="0024753F" w:rsidRPr="0024753F" w:rsidRDefault="0024753F" w:rsidP="000B7821">
      <w:pPr>
        <w:numPr>
          <w:ilvl w:val="0"/>
          <w:numId w:val="29"/>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Визначити заходи для підвищення стійкості енергосистеми, включно з:</w:t>
      </w:r>
    </w:p>
    <w:p w14:paraId="4BA49368" w14:textId="77777777" w:rsidR="0024753F" w:rsidRPr="0024753F" w:rsidRDefault="0024753F" w:rsidP="000B7821">
      <w:pPr>
        <w:numPr>
          <w:ilvl w:val="1"/>
          <w:numId w:val="29"/>
        </w:numPr>
        <w:spacing w:after="0" w:line="240" w:lineRule="auto"/>
        <w:ind w:left="1701" w:hanging="567"/>
        <w:jc w:val="both"/>
        <w:rPr>
          <w:rFonts w:ascii="Times New Roman" w:hAnsi="Times New Roman" w:cs="Times New Roman"/>
          <w:sz w:val="24"/>
          <w:szCs w:val="24"/>
        </w:rPr>
      </w:pPr>
      <w:r w:rsidRPr="0024753F">
        <w:rPr>
          <w:rFonts w:ascii="Times New Roman" w:hAnsi="Times New Roman" w:cs="Times New Roman"/>
          <w:sz w:val="24"/>
          <w:szCs w:val="24"/>
        </w:rPr>
        <w:t>диверсифікацією джерел енергії;</w:t>
      </w:r>
    </w:p>
    <w:p w14:paraId="03B7CDA2" w14:textId="77777777" w:rsidR="0024753F" w:rsidRPr="0024753F" w:rsidRDefault="0024753F" w:rsidP="000B7821">
      <w:pPr>
        <w:numPr>
          <w:ilvl w:val="1"/>
          <w:numId w:val="29"/>
        </w:numPr>
        <w:spacing w:after="0" w:line="240" w:lineRule="auto"/>
        <w:ind w:left="1701" w:hanging="567"/>
        <w:jc w:val="both"/>
        <w:rPr>
          <w:rFonts w:ascii="Times New Roman" w:hAnsi="Times New Roman" w:cs="Times New Roman"/>
          <w:sz w:val="24"/>
          <w:szCs w:val="24"/>
        </w:rPr>
      </w:pPr>
      <w:r w:rsidRPr="0024753F">
        <w:rPr>
          <w:rFonts w:ascii="Times New Roman" w:hAnsi="Times New Roman" w:cs="Times New Roman"/>
          <w:sz w:val="24"/>
          <w:szCs w:val="24"/>
        </w:rPr>
        <w:t>розвитком локальної генерації та відновлюваних джерел;</w:t>
      </w:r>
    </w:p>
    <w:p w14:paraId="3D5872F4" w14:textId="77777777" w:rsidR="0024753F" w:rsidRPr="0024753F" w:rsidRDefault="0024753F" w:rsidP="000B7821">
      <w:pPr>
        <w:numPr>
          <w:ilvl w:val="1"/>
          <w:numId w:val="29"/>
        </w:numPr>
        <w:spacing w:after="0" w:line="240" w:lineRule="auto"/>
        <w:ind w:left="1701" w:hanging="567"/>
        <w:jc w:val="both"/>
        <w:rPr>
          <w:rFonts w:ascii="Times New Roman" w:hAnsi="Times New Roman" w:cs="Times New Roman"/>
          <w:sz w:val="24"/>
          <w:szCs w:val="24"/>
        </w:rPr>
      </w:pPr>
      <w:r w:rsidRPr="0024753F">
        <w:rPr>
          <w:rFonts w:ascii="Times New Roman" w:hAnsi="Times New Roman" w:cs="Times New Roman"/>
          <w:sz w:val="24"/>
          <w:szCs w:val="24"/>
        </w:rPr>
        <w:t>створенням резервних систем та планів аварійного реагування.</w:t>
      </w:r>
    </w:p>
    <w:p w14:paraId="053ECFD7" w14:textId="77777777" w:rsidR="0024753F" w:rsidRPr="0024753F" w:rsidRDefault="0024753F" w:rsidP="000B7821">
      <w:pPr>
        <w:numPr>
          <w:ilvl w:val="0"/>
          <w:numId w:val="29"/>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Проаналізувати наслідки енергетичної бідності для здоров’я, добробуту та соціальної стабільності населення, у тому числі в умовах перебоїв постачання.</w:t>
      </w:r>
    </w:p>
    <w:p w14:paraId="55B80C5F" w14:textId="77777777" w:rsidR="0024753F" w:rsidRPr="0024753F" w:rsidRDefault="0024753F" w:rsidP="000B7821">
      <w:pPr>
        <w:numPr>
          <w:ilvl w:val="0"/>
          <w:numId w:val="29"/>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Визначити інтегровані заходи, які одночасно сприятимуть зміцненню енергетичної безпеки та зменшенню енергетичної бідності.</w:t>
      </w:r>
    </w:p>
    <w:p w14:paraId="10BF8B3B" w14:textId="77777777" w:rsidR="0024753F" w:rsidRPr="0024753F" w:rsidRDefault="0024753F" w:rsidP="000B7821">
      <w:pPr>
        <w:numPr>
          <w:ilvl w:val="0"/>
          <w:numId w:val="29"/>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Встановити індикатори відповідно до офіційного шаблону ПДСЕРК для моніторингу ефективності заходів.</w:t>
      </w:r>
    </w:p>
    <w:p w14:paraId="1F4D0D6F" w14:textId="77777777" w:rsidR="0024753F" w:rsidRPr="0024753F" w:rsidRDefault="0024753F" w:rsidP="00ED6E19">
      <w:pPr>
        <w:spacing w:after="0"/>
        <w:ind w:left="567" w:firstLine="284"/>
        <w:jc w:val="both"/>
        <w:rPr>
          <w:rFonts w:ascii="Times New Roman" w:hAnsi="Times New Roman" w:cs="Times New Roman"/>
          <w:sz w:val="24"/>
          <w:szCs w:val="24"/>
        </w:rPr>
      </w:pPr>
      <w:r w:rsidRPr="0024753F">
        <w:rPr>
          <w:rFonts w:ascii="Times New Roman" w:hAnsi="Times New Roman" w:cs="Times New Roman"/>
          <w:sz w:val="24"/>
          <w:szCs w:val="24"/>
        </w:rPr>
        <w:t>Очікувані результати:</w:t>
      </w:r>
    </w:p>
    <w:p w14:paraId="6A091B3C" w14:textId="77777777" w:rsidR="0024753F" w:rsidRPr="0024753F" w:rsidRDefault="0024753F" w:rsidP="000B7821">
      <w:pPr>
        <w:numPr>
          <w:ilvl w:val="0"/>
          <w:numId w:val="30"/>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Виявлені ключові ризики для енергетичної безпеки громади в умовах воєнної агресії.</w:t>
      </w:r>
    </w:p>
    <w:p w14:paraId="7A66CAAC" w14:textId="77777777" w:rsidR="0024753F" w:rsidRPr="0024753F" w:rsidRDefault="0024753F" w:rsidP="000B7821">
      <w:pPr>
        <w:numPr>
          <w:ilvl w:val="0"/>
          <w:numId w:val="30"/>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lastRenderedPageBreak/>
        <w:t>Сформовані пріоритетні заходи для захисту та відновлення енергетичної інфраструктури.</w:t>
      </w:r>
    </w:p>
    <w:p w14:paraId="547A2EAE" w14:textId="77777777" w:rsidR="0024753F" w:rsidRPr="0024753F" w:rsidRDefault="0024753F" w:rsidP="000B7821">
      <w:pPr>
        <w:numPr>
          <w:ilvl w:val="0"/>
          <w:numId w:val="30"/>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Визначені соціальні наслідки енергетичної бідності та заходи для їхнього пом’якшення.</w:t>
      </w:r>
    </w:p>
    <w:p w14:paraId="6E5DAF56" w14:textId="77777777" w:rsidR="0024753F" w:rsidRPr="0024753F" w:rsidRDefault="0024753F" w:rsidP="000B7821">
      <w:pPr>
        <w:numPr>
          <w:ilvl w:val="0"/>
          <w:numId w:val="30"/>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Встановлені індикатори для оцінки прогресу у сфері енергетичної безпеки та зменшення енергетичної бідності.</w:t>
      </w:r>
    </w:p>
    <w:p w14:paraId="1B1C6630" w14:textId="77777777" w:rsidR="0024753F" w:rsidRPr="0024753F" w:rsidRDefault="0024753F" w:rsidP="000B7821">
      <w:pPr>
        <w:spacing w:after="0"/>
        <w:ind w:left="284" w:firstLine="425"/>
        <w:jc w:val="both"/>
        <w:rPr>
          <w:rFonts w:ascii="Times New Roman" w:hAnsi="Times New Roman" w:cs="Times New Roman"/>
          <w:sz w:val="24"/>
          <w:szCs w:val="24"/>
        </w:rPr>
      </w:pPr>
      <w:r w:rsidRPr="0024753F">
        <w:rPr>
          <w:rFonts w:ascii="Times New Roman" w:hAnsi="Times New Roman" w:cs="Times New Roman"/>
          <w:sz w:val="24"/>
          <w:szCs w:val="24"/>
        </w:rPr>
        <w:t>Розробка розділу здійснюється відповідно до офіційного шаблону ПДСЕРК та методологічних вимог Угоди мерів.</w:t>
      </w:r>
    </w:p>
    <w:p w14:paraId="2B89014D" w14:textId="77777777" w:rsidR="0024753F" w:rsidRPr="0024753F" w:rsidRDefault="0024753F" w:rsidP="0024753F">
      <w:pPr>
        <w:spacing w:after="0"/>
        <w:ind w:firstLine="709"/>
        <w:jc w:val="both"/>
        <w:rPr>
          <w:rFonts w:ascii="Times New Roman" w:hAnsi="Times New Roman" w:cs="Times New Roman"/>
          <w:sz w:val="24"/>
          <w:szCs w:val="24"/>
        </w:rPr>
      </w:pPr>
    </w:p>
    <w:p w14:paraId="4203B3D9"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6. Стратегія щодо енергії та клімату</w:t>
      </w:r>
    </w:p>
    <w:p w14:paraId="2317739C"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Цей розділ визначає </w:t>
      </w:r>
      <w:r w:rsidRPr="0024753F">
        <w:rPr>
          <w:rFonts w:ascii="Times New Roman" w:hAnsi="Times New Roman" w:cs="Times New Roman"/>
          <w:b/>
          <w:bCs/>
          <w:sz w:val="24"/>
          <w:szCs w:val="24"/>
        </w:rPr>
        <w:t>стратегію громади</w:t>
      </w:r>
      <w:r w:rsidRPr="0024753F">
        <w:rPr>
          <w:rFonts w:ascii="Times New Roman" w:hAnsi="Times New Roman" w:cs="Times New Roman"/>
          <w:sz w:val="24"/>
          <w:szCs w:val="24"/>
        </w:rPr>
        <w:t xml:space="preserve"> у сферах адаптації та пом’якшення наслідків зміни клімату, а також подолання енергетичної бідності. Стратегія включає </w:t>
      </w:r>
      <w:r w:rsidRPr="0024753F">
        <w:rPr>
          <w:rFonts w:ascii="Times New Roman" w:hAnsi="Times New Roman" w:cs="Times New Roman"/>
          <w:b/>
          <w:bCs/>
          <w:sz w:val="24"/>
          <w:szCs w:val="24"/>
        </w:rPr>
        <w:t>середньострокові цілі до 2030 року</w:t>
      </w:r>
      <w:r w:rsidRPr="0024753F">
        <w:rPr>
          <w:rFonts w:ascii="Times New Roman" w:hAnsi="Times New Roman" w:cs="Times New Roman"/>
          <w:sz w:val="24"/>
          <w:szCs w:val="24"/>
        </w:rPr>
        <w:t xml:space="preserve"> та </w:t>
      </w:r>
      <w:r w:rsidRPr="0024753F">
        <w:rPr>
          <w:rFonts w:ascii="Times New Roman" w:hAnsi="Times New Roman" w:cs="Times New Roman"/>
          <w:b/>
          <w:bCs/>
          <w:sz w:val="24"/>
          <w:szCs w:val="24"/>
        </w:rPr>
        <w:t>довгострокові цілі до 2050 року</w:t>
      </w:r>
      <w:r w:rsidRPr="0024753F">
        <w:rPr>
          <w:rFonts w:ascii="Times New Roman" w:hAnsi="Times New Roman" w:cs="Times New Roman"/>
          <w:sz w:val="24"/>
          <w:szCs w:val="24"/>
        </w:rPr>
        <w:t>, що відповідають вимогам Угоди мерів та шаблону ПДСЕРК.</w:t>
      </w:r>
    </w:p>
    <w:p w14:paraId="55BAF11A"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розділу:</w:t>
      </w:r>
    </w:p>
    <w:p w14:paraId="7FC04C95" w14:textId="77777777" w:rsidR="0024753F" w:rsidRPr="0024753F" w:rsidRDefault="0024753F" w:rsidP="000B7821">
      <w:pPr>
        <w:numPr>
          <w:ilvl w:val="0"/>
          <w:numId w:val="31"/>
        </w:numPr>
        <w:tabs>
          <w:tab w:val="clear" w:pos="720"/>
          <w:tab w:val="num" w:pos="993"/>
        </w:tabs>
        <w:spacing w:after="0" w:line="240" w:lineRule="auto"/>
        <w:ind w:left="567" w:firstLine="0"/>
        <w:jc w:val="both"/>
        <w:rPr>
          <w:rFonts w:ascii="Times New Roman" w:hAnsi="Times New Roman" w:cs="Times New Roman"/>
          <w:sz w:val="24"/>
          <w:szCs w:val="24"/>
        </w:rPr>
      </w:pPr>
      <w:r w:rsidRPr="0024753F">
        <w:rPr>
          <w:rFonts w:ascii="Times New Roman" w:hAnsi="Times New Roman" w:cs="Times New Roman"/>
          <w:sz w:val="24"/>
          <w:szCs w:val="24"/>
        </w:rPr>
        <w:t>Визначити стратегічні цілі та зобов’язання громади до 2030 року, зокрема:</w:t>
      </w:r>
    </w:p>
    <w:p w14:paraId="0F46DDAD" w14:textId="77777777" w:rsidR="0024753F" w:rsidRPr="0024753F" w:rsidRDefault="0024753F" w:rsidP="00424C7D">
      <w:pPr>
        <w:numPr>
          <w:ilvl w:val="1"/>
          <w:numId w:val="31"/>
        </w:numPr>
        <w:tabs>
          <w:tab w:val="clear" w:pos="1440"/>
          <w:tab w:val="num" w:pos="1418"/>
        </w:tabs>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Скорочення споживання енергії</w:t>
      </w:r>
      <w:r w:rsidRPr="0024753F">
        <w:rPr>
          <w:rFonts w:ascii="Times New Roman" w:hAnsi="Times New Roman" w:cs="Times New Roman"/>
          <w:sz w:val="24"/>
          <w:szCs w:val="24"/>
        </w:rPr>
        <w:t xml:space="preserve"> (у натуральних одиницях та у відсотках).</w:t>
      </w:r>
    </w:p>
    <w:p w14:paraId="2CB2FEE7" w14:textId="77777777" w:rsidR="0024753F" w:rsidRPr="0024753F" w:rsidRDefault="0024753F" w:rsidP="00424C7D">
      <w:pPr>
        <w:numPr>
          <w:ilvl w:val="1"/>
          <w:numId w:val="31"/>
        </w:numPr>
        <w:tabs>
          <w:tab w:val="clear" w:pos="1440"/>
          <w:tab w:val="num" w:pos="1418"/>
        </w:tabs>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Збільшення частки зеленої енергії</w:t>
      </w:r>
      <w:r w:rsidRPr="0024753F">
        <w:rPr>
          <w:rFonts w:ascii="Times New Roman" w:hAnsi="Times New Roman" w:cs="Times New Roman"/>
          <w:sz w:val="24"/>
          <w:szCs w:val="24"/>
        </w:rPr>
        <w:t xml:space="preserve"> (у натуральних одиницях та у відсотках).</w:t>
      </w:r>
    </w:p>
    <w:p w14:paraId="69E9C193" w14:textId="77777777" w:rsidR="0024753F" w:rsidRPr="0024753F" w:rsidRDefault="0024753F" w:rsidP="00424C7D">
      <w:pPr>
        <w:numPr>
          <w:ilvl w:val="1"/>
          <w:numId w:val="31"/>
        </w:numPr>
        <w:tabs>
          <w:tab w:val="clear" w:pos="1440"/>
          <w:tab w:val="num" w:pos="1418"/>
        </w:tabs>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Скорочення викидів парникових газів</w:t>
      </w:r>
      <w:r w:rsidRPr="0024753F">
        <w:rPr>
          <w:rFonts w:ascii="Times New Roman" w:hAnsi="Times New Roman" w:cs="Times New Roman"/>
          <w:sz w:val="24"/>
          <w:szCs w:val="24"/>
        </w:rPr>
        <w:t>.</w:t>
      </w:r>
    </w:p>
    <w:p w14:paraId="47B4268D" w14:textId="77777777" w:rsidR="0024753F" w:rsidRPr="0024753F" w:rsidRDefault="0024753F" w:rsidP="000B7821">
      <w:pPr>
        <w:numPr>
          <w:ilvl w:val="0"/>
          <w:numId w:val="31"/>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Встановити індикатори для трьох напрямків Угоди мерів, що відповідають шаблону ПДСЕРК:</w:t>
      </w:r>
    </w:p>
    <w:p w14:paraId="6537DC9E" w14:textId="77777777" w:rsidR="0024753F" w:rsidRPr="0024753F" w:rsidRDefault="0024753F" w:rsidP="00424C7D">
      <w:pPr>
        <w:numPr>
          <w:ilvl w:val="1"/>
          <w:numId w:val="31"/>
        </w:numPr>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Пом’якшення наслідків змін клімату</w:t>
      </w:r>
      <w:r w:rsidRPr="0024753F">
        <w:rPr>
          <w:rFonts w:ascii="Times New Roman" w:hAnsi="Times New Roman" w:cs="Times New Roman"/>
          <w:sz w:val="24"/>
          <w:szCs w:val="24"/>
        </w:rPr>
        <w:t>.</w:t>
      </w:r>
    </w:p>
    <w:p w14:paraId="2B177ABB" w14:textId="77777777" w:rsidR="0024753F" w:rsidRPr="0024753F" w:rsidRDefault="0024753F" w:rsidP="00424C7D">
      <w:pPr>
        <w:numPr>
          <w:ilvl w:val="1"/>
          <w:numId w:val="31"/>
        </w:numPr>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Адаптація до змін клімату</w:t>
      </w:r>
      <w:r w:rsidRPr="0024753F">
        <w:rPr>
          <w:rFonts w:ascii="Times New Roman" w:hAnsi="Times New Roman" w:cs="Times New Roman"/>
          <w:sz w:val="24"/>
          <w:szCs w:val="24"/>
        </w:rPr>
        <w:t>.</w:t>
      </w:r>
    </w:p>
    <w:p w14:paraId="3ECC2FE6" w14:textId="77777777" w:rsidR="0024753F" w:rsidRPr="0024753F" w:rsidRDefault="0024753F" w:rsidP="00424C7D">
      <w:pPr>
        <w:numPr>
          <w:ilvl w:val="1"/>
          <w:numId w:val="31"/>
        </w:numPr>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Енергетична бідність</w:t>
      </w:r>
      <w:r w:rsidRPr="0024753F">
        <w:rPr>
          <w:rFonts w:ascii="Times New Roman" w:hAnsi="Times New Roman" w:cs="Times New Roman"/>
          <w:sz w:val="24"/>
          <w:szCs w:val="24"/>
        </w:rPr>
        <w:t>.</w:t>
      </w:r>
    </w:p>
    <w:p w14:paraId="3A566DD6" w14:textId="77777777" w:rsidR="0024753F" w:rsidRPr="0024753F" w:rsidRDefault="0024753F" w:rsidP="000B7821">
      <w:pPr>
        <w:numPr>
          <w:ilvl w:val="0"/>
          <w:numId w:val="31"/>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Визначити секторальні цілі з енергоефективності та розвитку відновлюваних джерел енергії.</w:t>
      </w:r>
    </w:p>
    <w:p w14:paraId="20C07812" w14:textId="77777777" w:rsidR="0024753F" w:rsidRPr="0024753F" w:rsidRDefault="0024753F" w:rsidP="000B7821">
      <w:pPr>
        <w:numPr>
          <w:ilvl w:val="0"/>
          <w:numId w:val="31"/>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 xml:space="preserve">Провести </w:t>
      </w:r>
      <w:r w:rsidRPr="0024753F">
        <w:rPr>
          <w:rFonts w:ascii="Times New Roman" w:hAnsi="Times New Roman" w:cs="Times New Roman"/>
          <w:b/>
          <w:bCs/>
          <w:sz w:val="24"/>
          <w:szCs w:val="24"/>
        </w:rPr>
        <w:t>SWOT-аналіз</w:t>
      </w:r>
      <w:r w:rsidRPr="0024753F">
        <w:rPr>
          <w:rFonts w:ascii="Times New Roman" w:hAnsi="Times New Roman" w:cs="Times New Roman"/>
          <w:sz w:val="24"/>
          <w:szCs w:val="24"/>
        </w:rPr>
        <w:t xml:space="preserve"> сталого розвитку громади у сферах енергетики та клімату.</w:t>
      </w:r>
    </w:p>
    <w:p w14:paraId="12CB0F67" w14:textId="77777777" w:rsidR="0024753F" w:rsidRPr="0024753F" w:rsidRDefault="0024753F" w:rsidP="000B7821">
      <w:pPr>
        <w:numPr>
          <w:ilvl w:val="0"/>
          <w:numId w:val="31"/>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Встановити довгострокові цілі до 2050 року (обов’язково).</w:t>
      </w:r>
    </w:p>
    <w:p w14:paraId="7D8AE8A5" w14:textId="2D800C3F" w:rsidR="0024753F" w:rsidRPr="00424C7D" w:rsidRDefault="0024753F" w:rsidP="000B7821">
      <w:pPr>
        <w:numPr>
          <w:ilvl w:val="0"/>
          <w:numId w:val="31"/>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Провести аналіз існуючого стану муніципальної системи енергетичного менеджменту та розробити рекомендації щодо її вдосконалення.</w:t>
      </w:r>
    </w:p>
    <w:p w14:paraId="550C00B8" w14:textId="77777777" w:rsidR="0024753F" w:rsidRPr="0024753F" w:rsidRDefault="0024753F" w:rsidP="000B7821">
      <w:pPr>
        <w:numPr>
          <w:ilvl w:val="0"/>
          <w:numId w:val="31"/>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 xml:space="preserve">Підготувати </w:t>
      </w:r>
      <w:r w:rsidRPr="0024753F">
        <w:rPr>
          <w:rFonts w:ascii="Times New Roman" w:hAnsi="Times New Roman" w:cs="Times New Roman"/>
          <w:b/>
          <w:bCs/>
          <w:sz w:val="24"/>
          <w:szCs w:val="24"/>
        </w:rPr>
        <w:t>План залучення зацікавлених сторін</w:t>
      </w:r>
      <w:r w:rsidRPr="0024753F">
        <w:rPr>
          <w:rFonts w:ascii="Times New Roman" w:hAnsi="Times New Roman" w:cs="Times New Roman"/>
          <w:sz w:val="24"/>
          <w:szCs w:val="24"/>
        </w:rPr>
        <w:t xml:space="preserve"> із визначенням стратегії комунікації та роботи з громадою.</w:t>
      </w:r>
    </w:p>
    <w:p w14:paraId="48847992" w14:textId="77777777" w:rsidR="0024753F" w:rsidRPr="0024753F" w:rsidRDefault="0024753F" w:rsidP="000B7821">
      <w:pPr>
        <w:numPr>
          <w:ilvl w:val="0"/>
          <w:numId w:val="31"/>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Визначити відповідальних осіб за виконання Плану дій сталого енергетичного розвитку та клімату (ПДСЕРК).</w:t>
      </w:r>
    </w:p>
    <w:p w14:paraId="1D38B101" w14:textId="77777777" w:rsidR="0024753F" w:rsidRPr="0024753F" w:rsidRDefault="0024753F" w:rsidP="000B7821">
      <w:pPr>
        <w:numPr>
          <w:ilvl w:val="0"/>
          <w:numId w:val="31"/>
        </w:numPr>
        <w:tabs>
          <w:tab w:val="clear" w:pos="720"/>
          <w:tab w:val="num" w:pos="993"/>
        </w:tabs>
        <w:spacing w:after="0" w:line="240" w:lineRule="auto"/>
        <w:ind w:left="0" w:firstLine="567"/>
        <w:jc w:val="both"/>
        <w:rPr>
          <w:rFonts w:ascii="Times New Roman" w:hAnsi="Times New Roman" w:cs="Times New Roman"/>
          <w:b/>
          <w:bCs/>
          <w:sz w:val="24"/>
          <w:szCs w:val="24"/>
        </w:rPr>
      </w:pPr>
      <w:r w:rsidRPr="0024753F">
        <w:rPr>
          <w:rFonts w:ascii="Times New Roman" w:hAnsi="Times New Roman" w:cs="Times New Roman"/>
          <w:b/>
          <w:bCs/>
          <w:sz w:val="24"/>
          <w:szCs w:val="24"/>
        </w:rPr>
        <w:t>Розробити систему моніторингу виконання ПДСЕРК.</w:t>
      </w:r>
    </w:p>
    <w:p w14:paraId="22EB3A79" w14:textId="77777777" w:rsidR="0024753F" w:rsidRPr="0024753F" w:rsidRDefault="0024753F" w:rsidP="0024753F">
      <w:pPr>
        <w:spacing w:after="0"/>
        <w:ind w:firstLine="709"/>
        <w:jc w:val="both"/>
        <w:rPr>
          <w:rFonts w:ascii="Times New Roman" w:hAnsi="Times New Roman" w:cs="Times New Roman"/>
          <w:sz w:val="24"/>
          <w:szCs w:val="24"/>
        </w:rPr>
      </w:pPr>
    </w:p>
    <w:p w14:paraId="352EF5E5" w14:textId="77777777" w:rsidR="0024753F" w:rsidRPr="0024753F" w:rsidRDefault="0024753F" w:rsidP="0024753F">
      <w:pPr>
        <w:keepNext/>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Очікувані результати:</w:t>
      </w:r>
    </w:p>
    <w:p w14:paraId="659C2609" w14:textId="77777777" w:rsidR="0024753F" w:rsidRPr="0024753F" w:rsidRDefault="0024753F" w:rsidP="000B7821">
      <w:pPr>
        <w:numPr>
          <w:ilvl w:val="0"/>
          <w:numId w:val="32"/>
        </w:numPr>
        <w:tabs>
          <w:tab w:val="clear" w:pos="720"/>
          <w:tab w:val="num" w:pos="993"/>
        </w:tabs>
        <w:spacing w:after="0" w:line="240" w:lineRule="auto"/>
        <w:ind w:left="1134" w:hanging="567"/>
        <w:jc w:val="both"/>
        <w:rPr>
          <w:rFonts w:ascii="Times New Roman" w:hAnsi="Times New Roman" w:cs="Times New Roman"/>
          <w:sz w:val="24"/>
          <w:szCs w:val="24"/>
        </w:rPr>
      </w:pPr>
      <w:r w:rsidRPr="0024753F">
        <w:rPr>
          <w:rFonts w:ascii="Times New Roman" w:hAnsi="Times New Roman" w:cs="Times New Roman"/>
          <w:sz w:val="24"/>
          <w:szCs w:val="24"/>
        </w:rPr>
        <w:t>Сформована стратегія громади у сферах адаптації, пом’якшення та енергетичної бідності.</w:t>
      </w:r>
    </w:p>
    <w:p w14:paraId="326C0AED" w14:textId="77777777" w:rsidR="0024753F" w:rsidRPr="0024753F" w:rsidRDefault="0024753F" w:rsidP="000B7821">
      <w:pPr>
        <w:numPr>
          <w:ilvl w:val="0"/>
          <w:numId w:val="32"/>
        </w:numPr>
        <w:tabs>
          <w:tab w:val="clear" w:pos="720"/>
          <w:tab w:val="num" w:pos="993"/>
        </w:tabs>
        <w:spacing w:after="0" w:line="240" w:lineRule="auto"/>
        <w:ind w:left="1134" w:hanging="567"/>
        <w:jc w:val="both"/>
        <w:rPr>
          <w:rFonts w:ascii="Times New Roman" w:hAnsi="Times New Roman" w:cs="Times New Roman"/>
          <w:sz w:val="24"/>
          <w:szCs w:val="24"/>
        </w:rPr>
      </w:pPr>
      <w:r w:rsidRPr="0024753F">
        <w:rPr>
          <w:rFonts w:ascii="Times New Roman" w:hAnsi="Times New Roman" w:cs="Times New Roman"/>
          <w:sz w:val="24"/>
          <w:szCs w:val="24"/>
        </w:rPr>
        <w:t>Встановлені середньострокові та довгострокові цілі з чіткими індикаторами.</w:t>
      </w:r>
    </w:p>
    <w:p w14:paraId="75EBEFE6" w14:textId="77777777" w:rsidR="0024753F" w:rsidRPr="0024753F" w:rsidRDefault="0024753F" w:rsidP="000B7821">
      <w:pPr>
        <w:numPr>
          <w:ilvl w:val="0"/>
          <w:numId w:val="32"/>
        </w:numPr>
        <w:tabs>
          <w:tab w:val="clear" w:pos="720"/>
          <w:tab w:val="num" w:pos="993"/>
        </w:tabs>
        <w:spacing w:after="0" w:line="240" w:lineRule="auto"/>
        <w:ind w:left="1134" w:hanging="567"/>
        <w:jc w:val="both"/>
        <w:rPr>
          <w:rFonts w:ascii="Times New Roman" w:hAnsi="Times New Roman" w:cs="Times New Roman"/>
          <w:sz w:val="24"/>
          <w:szCs w:val="24"/>
        </w:rPr>
      </w:pPr>
      <w:r w:rsidRPr="0024753F">
        <w:rPr>
          <w:rFonts w:ascii="Times New Roman" w:hAnsi="Times New Roman" w:cs="Times New Roman"/>
          <w:sz w:val="24"/>
          <w:szCs w:val="24"/>
        </w:rPr>
        <w:t>Визначені секторальні пріоритети та заходи з енергоефективності та розвитку ВДЕ.</w:t>
      </w:r>
    </w:p>
    <w:p w14:paraId="775F4788" w14:textId="77777777" w:rsidR="0024753F" w:rsidRPr="0024753F" w:rsidRDefault="0024753F" w:rsidP="000B7821">
      <w:pPr>
        <w:numPr>
          <w:ilvl w:val="0"/>
          <w:numId w:val="32"/>
        </w:numPr>
        <w:tabs>
          <w:tab w:val="clear" w:pos="720"/>
          <w:tab w:val="num" w:pos="993"/>
        </w:tabs>
        <w:spacing w:after="0" w:line="240" w:lineRule="auto"/>
        <w:ind w:left="1134" w:hanging="567"/>
        <w:jc w:val="both"/>
        <w:rPr>
          <w:rFonts w:ascii="Times New Roman" w:hAnsi="Times New Roman" w:cs="Times New Roman"/>
          <w:sz w:val="24"/>
          <w:szCs w:val="24"/>
        </w:rPr>
      </w:pPr>
      <w:r w:rsidRPr="0024753F">
        <w:rPr>
          <w:rFonts w:ascii="Times New Roman" w:hAnsi="Times New Roman" w:cs="Times New Roman"/>
          <w:sz w:val="24"/>
          <w:szCs w:val="24"/>
        </w:rPr>
        <w:t>Проведений SWOT-аналіз сталого розвитку громади.</w:t>
      </w:r>
    </w:p>
    <w:p w14:paraId="1D482BB6" w14:textId="77777777" w:rsidR="0024753F" w:rsidRPr="0024753F" w:rsidRDefault="0024753F" w:rsidP="000B7821">
      <w:pPr>
        <w:numPr>
          <w:ilvl w:val="0"/>
          <w:numId w:val="32"/>
        </w:numPr>
        <w:tabs>
          <w:tab w:val="clear" w:pos="720"/>
          <w:tab w:val="num" w:pos="993"/>
        </w:tabs>
        <w:spacing w:after="0" w:line="240" w:lineRule="auto"/>
        <w:ind w:left="1134" w:hanging="567"/>
        <w:jc w:val="both"/>
        <w:rPr>
          <w:rFonts w:ascii="Times New Roman" w:hAnsi="Times New Roman" w:cs="Times New Roman"/>
          <w:sz w:val="24"/>
          <w:szCs w:val="24"/>
        </w:rPr>
      </w:pPr>
      <w:r w:rsidRPr="0024753F">
        <w:rPr>
          <w:rFonts w:ascii="Times New Roman" w:hAnsi="Times New Roman" w:cs="Times New Roman"/>
          <w:sz w:val="24"/>
          <w:szCs w:val="24"/>
        </w:rPr>
        <w:t>Розроблені рекомендації щодо вдосконалення системи енергетичного менеджменту.</w:t>
      </w:r>
    </w:p>
    <w:p w14:paraId="74C1AFF8" w14:textId="77777777" w:rsidR="0024753F" w:rsidRPr="0024753F" w:rsidRDefault="0024753F" w:rsidP="000B7821">
      <w:pPr>
        <w:numPr>
          <w:ilvl w:val="0"/>
          <w:numId w:val="32"/>
        </w:numPr>
        <w:tabs>
          <w:tab w:val="clear" w:pos="720"/>
          <w:tab w:val="num" w:pos="993"/>
        </w:tabs>
        <w:spacing w:after="0" w:line="240" w:lineRule="auto"/>
        <w:ind w:left="1134" w:hanging="567"/>
        <w:jc w:val="both"/>
        <w:rPr>
          <w:rFonts w:ascii="Times New Roman" w:hAnsi="Times New Roman" w:cs="Times New Roman"/>
          <w:sz w:val="24"/>
          <w:szCs w:val="24"/>
        </w:rPr>
      </w:pPr>
      <w:r w:rsidRPr="0024753F">
        <w:rPr>
          <w:rFonts w:ascii="Times New Roman" w:hAnsi="Times New Roman" w:cs="Times New Roman"/>
          <w:sz w:val="24"/>
          <w:szCs w:val="24"/>
        </w:rPr>
        <w:t>Підготовлений план залучення громади та зацікавлених сторін.</w:t>
      </w:r>
    </w:p>
    <w:p w14:paraId="4588A88A" w14:textId="77777777" w:rsidR="0024753F" w:rsidRPr="0024753F" w:rsidRDefault="0024753F" w:rsidP="000B7821">
      <w:pPr>
        <w:numPr>
          <w:ilvl w:val="0"/>
          <w:numId w:val="32"/>
        </w:numPr>
        <w:tabs>
          <w:tab w:val="clear" w:pos="720"/>
          <w:tab w:val="num" w:pos="993"/>
        </w:tabs>
        <w:spacing w:after="0" w:line="240" w:lineRule="auto"/>
        <w:ind w:left="1134" w:hanging="567"/>
        <w:jc w:val="both"/>
        <w:rPr>
          <w:rFonts w:ascii="Times New Roman" w:hAnsi="Times New Roman" w:cs="Times New Roman"/>
          <w:sz w:val="24"/>
          <w:szCs w:val="24"/>
        </w:rPr>
      </w:pPr>
      <w:r w:rsidRPr="0024753F">
        <w:rPr>
          <w:rFonts w:ascii="Times New Roman" w:hAnsi="Times New Roman" w:cs="Times New Roman"/>
          <w:sz w:val="24"/>
          <w:szCs w:val="24"/>
        </w:rPr>
        <w:t>Визначені відповідальні особи</w:t>
      </w:r>
    </w:p>
    <w:p w14:paraId="26B6A242" w14:textId="77777777" w:rsidR="0024753F" w:rsidRPr="0024753F" w:rsidRDefault="0024753F" w:rsidP="000B7821">
      <w:pPr>
        <w:numPr>
          <w:ilvl w:val="0"/>
          <w:numId w:val="32"/>
        </w:numPr>
        <w:tabs>
          <w:tab w:val="clear" w:pos="720"/>
          <w:tab w:val="num" w:pos="993"/>
        </w:tabs>
        <w:spacing w:after="0" w:line="240" w:lineRule="auto"/>
        <w:ind w:left="1134" w:hanging="567"/>
        <w:jc w:val="both"/>
        <w:rPr>
          <w:rFonts w:ascii="Times New Roman" w:hAnsi="Times New Roman" w:cs="Times New Roman"/>
          <w:sz w:val="24"/>
          <w:szCs w:val="24"/>
        </w:rPr>
      </w:pPr>
      <w:r w:rsidRPr="0024753F">
        <w:rPr>
          <w:rFonts w:ascii="Times New Roman" w:hAnsi="Times New Roman" w:cs="Times New Roman"/>
          <w:sz w:val="24"/>
          <w:szCs w:val="24"/>
        </w:rPr>
        <w:t>Створена система моніторингу виконання ПДСЕРК.</w:t>
      </w:r>
    </w:p>
    <w:p w14:paraId="477B7593"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p>
    <w:p w14:paraId="665A59B3"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7. План заходів ПДСЕРК</w:t>
      </w:r>
    </w:p>
    <w:p w14:paraId="333004F1" w14:textId="77777777" w:rsidR="0024753F" w:rsidRPr="0024753F" w:rsidRDefault="0024753F" w:rsidP="0024753F">
      <w:pPr>
        <w:spacing w:after="0"/>
        <w:ind w:firstLine="709"/>
        <w:jc w:val="both"/>
        <w:outlineLvl w:val="2"/>
        <w:rPr>
          <w:rFonts w:ascii="Times New Roman" w:hAnsi="Times New Roman" w:cs="Times New Roman"/>
          <w:b/>
          <w:bCs/>
          <w:sz w:val="24"/>
          <w:szCs w:val="24"/>
        </w:rPr>
      </w:pPr>
      <w:r w:rsidRPr="0024753F">
        <w:rPr>
          <w:rFonts w:ascii="Times New Roman" w:hAnsi="Times New Roman" w:cs="Times New Roman"/>
          <w:b/>
          <w:bCs/>
          <w:sz w:val="24"/>
          <w:szCs w:val="24"/>
        </w:rPr>
        <w:t>7.1 Заходи з пом’якшення наслідків зміни клімату</w:t>
      </w:r>
    </w:p>
    <w:p w14:paraId="543A4E04"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lastRenderedPageBreak/>
        <w:t>До 2030 та 2050 року мають бути визначені та реалізовані заходи у ключових секторах:</w:t>
      </w:r>
    </w:p>
    <w:p w14:paraId="5BCFDFB2" w14:textId="77777777" w:rsidR="0024753F" w:rsidRPr="0024753F" w:rsidRDefault="0024753F" w:rsidP="000B7821">
      <w:pPr>
        <w:numPr>
          <w:ilvl w:val="0"/>
          <w:numId w:val="33"/>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громадські будівлі, обладнання та об’єкти;</w:t>
      </w:r>
    </w:p>
    <w:p w14:paraId="50C58D40" w14:textId="77777777" w:rsidR="0024753F" w:rsidRPr="0024753F" w:rsidRDefault="0024753F" w:rsidP="000B7821">
      <w:pPr>
        <w:numPr>
          <w:ilvl w:val="0"/>
          <w:numId w:val="33"/>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будівлі та обладнання третинного сектору;</w:t>
      </w:r>
    </w:p>
    <w:p w14:paraId="45C8A512" w14:textId="77777777" w:rsidR="0024753F" w:rsidRPr="0024753F" w:rsidRDefault="0024753F" w:rsidP="000B7821">
      <w:pPr>
        <w:numPr>
          <w:ilvl w:val="0"/>
          <w:numId w:val="33"/>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житлові будинки;</w:t>
      </w:r>
    </w:p>
    <w:p w14:paraId="3D716EB1" w14:textId="77777777" w:rsidR="0024753F" w:rsidRPr="0024753F" w:rsidRDefault="0024753F" w:rsidP="000B7821">
      <w:pPr>
        <w:numPr>
          <w:ilvl w:val="0"/>
          <w:numId w:val="33"/>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вуличне освітлення;</w:t>
      </w:r>
    </w:p>
    <w:p w14:paraId="43B05D42" w14:textId="77777777" w:rsidR="0024753F" w:rsidRPr="0024753F" w:rsidRDefault="0024753F" w:rsidP="000B7821">
      <w:pPr>
        <w:numPr>
          <w:ilvl w:val="0"/>
          <w:numId w:val="33"/>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транспорт (громадський, приватний і комунальний);</w:t>
      </w:r>
    </w:p>
    <w:p w14:paraId="5FF68876" w14:textId="77777777" w:rsidR="0024753F" w:rsidRPr="0024753F" w:rsidRDefault="0024753F" w:rsidP="000B7821">
      <w:pPr>
        <w:numPr>
          <w:ilvl w:val="0"/>
          <w:numId w:val="33"/>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локальне виробництво теплової енергії;</w:t>
      </w:r>
    </w:p>
    <w:p w14:paraId="0FDE0EC1" w14:textId="77777777" w:rsidR="0024753F" w:rsidRPr="0024753F" w:rsidRDefault="0024753F" w:rsidP="000B7821">
      <w:pPr>
        <w:numPr>
          <w:ilvl w:val="0"/>
          <w:numId w:val="33"/>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водопостачання та водовідведення;</w:t>
      </w:r>
    </w:p>
    <w:p w14:paraId="54E8CD91" w14:textId="77777777" w:rsidR="0024753F" w:rsidRPr="0024753F" w:rsidRDefault="0024753F" w:rsidP="000B7821">
      <w:pPr>
        <w:numPr>
          <w:ilvl w:val="0"/>
          <w:numId w:val="33"/>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управління відходами.</w:t>
      </w:r>
    </w:p>
    <w:p w14:paraId="02230A26"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Особливу увагу слід приділити розвитку </w:t>
      </w:r>
      <w:r w:rsidRPr="0024753F">
        <w:rPr>
          <w:rFonts w:ascii="Times New Roman" w:hAnsi="Times New Roman" w:cs="Times New Roman"/>
          <w:b/>
          <w:bCs/>
          <w:sz w:val="24"/>
          <w:szCs w:val="24"/>
        </w:rPr>
        <w:t>відновлюваних та альтернативних джерел енергії</w:t>
      </w:r>
      <w:r w:rsidRPr="0024753F">
        <w:rPr>
          <w:rFonts w:ascii="Times New Roman" w:hAnsi="Times New Roman" w:cs="Times New Roman"/>
          <w:sz w:val="24"/>
          <w:szCs w:val="24"/>
        </w:rPr>
        <w:t>, зокрема:</w:t>
      </w:r>
    </w:p>
    <w:p w14:paraId="1548F873" w14:textId="77777777" w:rsidR="0024753F" w:rsidRPr="0024753F" w:rsidRDefault="0024753F" w:rsidP="000B7821">
      <w:pPr>
        <w:numPr>
          <w:ilvl w:val="0"/>
          <w:numId w:val="34"/>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аналіз потенціалу заміщення природного газу у бюджетних та житлових багатоповерхових будівлях, третинному секторі та приватних домогосподарствах;</w:t>
      </w:r>
    </w:p>
    <w:p w14:paraId="2B700070" w14:textId="77777777" w:rsidR="0024753F" w:rsidRPr="0024753F" w:rsidRDefault="0024753F" w:rsidP="000B7821">
      <w:pPr>
        <w:numPr>
          <w:ilvl w:val="0"/>
          <w:numId w:val="34"/>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розвиток сонячних електростанцій (СЕС) у приватних домогосподарствах;</w:t>
      </w:r>
    </w:p>
    <w:p w14:paraId="02CD9D10" w14:textId="77777777" w:rsidR="0024753F" w:rsidRPr="0024753F" w:rsidRDefault="0024753F" w:rsidP="000B7821">
      <w:pPr>
        <w:numPr>
          <w:ilvl w:val="0"/>
          <w:numId w:val="34"/>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створення та розширення комунальних СЕС;</w:t>
      </w:r>
    </w:p>
    <w:p w14:paraId="250F1028" w14:textId="77777777" w:rsidR="0024753F" w:rsidRPr="0024753F" w:rsidRDefault="0024753F" w:rsidP="000B7821">
      <w:pPr>
        <w:numPr>
          <w:ilvl w:val="0"/>
          <w:numId w:val="34"/>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впровадження інших технологій ВДЕ та альтернативних джерел енергії.</w:t>
      </w:r>
    </w:p>
    <w:p w14:paraId="4DEBA1DA" w14:textId="77777777" w:rsidR="0024753F" w:rsidRPr="0024753F" w:rsidRDefault="0024753F" w:rsidP="0024753F">
      <w:pPr>
        <w:spacing w:after="0"/>
        <w:ind w:firstLine="709"/>
        <w:jc w:val="both"/>
        <w:outlineLvl w:val="2"/>
        <w:rPr>
          <w:rFonts w:ascii="Times New Roman" w:hAnsi="Times New Roman" w:cs="Times New Roman"/>
          <w:b/>
          <w:bCs/>
          <w:sz w:val="24"/>
          <w:szCs w:val="24"/>
        </w:rPr>
      </w:pPr>
      <w:r w:rsidRPr="0024753F">
        <w:rPr>
          <w:rFonts w:ascii="Times New Roman" w:hAnsi="Times New Roman" w:cs="Times New Roman"/>
          <w:b/>
          <w:bCs/>
          <w:sz w:val="24"/>
          <w:szCs w:val="24"/>
        </w:rPr>
        <w:t>7.2 Заходи з адаптації до наслідків зміни клімату</w:t>
      </w:r>
    </w:p>
    <w:p w14:paraId="63AD1870"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До 2030 та 2050 року мають бути визначені заходи у таких сферах:</w:t>
      </w:r>
    </w:p>
    <w:p w14:paraId="028F5E47"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біорізноманіття та навколишнє природне середовище;</w:t>
      </w:r>
    </w:p>
    <w:p w14:paraId="5120783F"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будівлі;</w:t>
      </w:r>
    </w:p>
    <w:p w14:paraId="65B1FA67"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енергетика;</w:t>
      </w:r>
    </w:p>
    <w:p w14:paraId="77E03960"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охорона здоров’я;</w:t>
      </w:r>
    </w:p>
    <w:p w14:paraId="700610A8"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критична інфраструктура (у т.ч. транспорт, поводження з відходами);</w:t>
      </w:r>
    </w:p>
    <w:p w14:paraId="33B9F5BE"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управління водними ресурсами;</w:t>
      </w:r>
    </w:p>
    <w:p w14:paraId="0015457B"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туризм;</w:t>
      </w:r>
    </w:p>
    <w:p w14:paraId="4B172FCA"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планування використання земель;</w:t>
      </w:r>
    </w:p>
    <w:p w14:paraId="53912363"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цивільний захист та надзвичайні ситуації;</w:t>
      </w:r>
    </w:p>
    <w:p w14:paraId="02076DA0"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освіта;</w:t>
      </w:r>
    </w:p>
    <w:p w14:paraId="720552BD" w14:textId="77777777" w:rsidR="0024753F" w:rsidRPr="0024753F" w:rsidRDefault="0024753F" w:rsidP="000B7821">
      <w:pPr>
        <w:numPr>
          <w:ilvl w:val="0"/>
          <w:numId w:val="35"/>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технології комунікації та інформування.</w:t>
      </w:r>
    </w:p>
    <w:p w14:paraId="5143FEAB" w14:textId="77777777" w:rsidR="0024753F" w:rsidRPr="0024753F" w:rsidRDefault="0024753F" w:rsidP="0024753F">
      <w:pPr>
        <w:spacing w:after="0"/>
        <w:ind w:firstLine="709"/>
        <w:jc w:val="both"/>
        <w:outlineLvl w:val="2"/>
        <w:rPr>
          <w:rFonts w:ascii="Times New Roman" w:hAnsi="Times New Roman" w:cs="Times New Roman"/>
          <w:b/>
          <w:bCs/>
          <w:sz w:val="24"/>
          <w:szCs w:val="24"/>
        </w:rPr>
      </w:pPr>
      <w:r w:rsidRPr="0024753F">
        <w:rPr>
          <w:rFonts w:ascii="Times New Roman" w:hAnsi="Times New Roman" w:cs="Times New Roman"/>
          <w:b/>
          <w:bCs/>
          <w:sz w:val="24"/>
          <w:szCs w:val="24"/>
        </w:rPr>
        <w:t xml:space="preserve">7.3 Планування території та її використання </w:t>
      </w:r>
    </w:p>
    <w:p w14:paraId="388DC727"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Заходи у сфері просторового планування мають забезпечити інтеграцію кліматичних та енергетичних цілей у розвиток громади. Це включає врахування ризиків повеней, підвищення температури, ерозії ґрунтів та інших кліматичних загроз при розробці генеральних планів, зонування територій та визначенні місць для розміщення об’єктів критичної інфраструктури, зелених зон та відновлюваних джерел енергії.</w:t>
      </w:r>
    </w:p>
    <w:p w14:paraId="321E05A0"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Заходи з подолання енергетичної бідності мають бути інтегровані в один із двох напрямків (пом’якшення або адаптація) або одночасно в обидва.</w:t>
      </w:r>
    </w:p>
    <w:p w14:paraId="44CA9887"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Вимоги до опису заходів.</w:t>
      </w:r>
    </w:p>
    <w:p w14:paraId="2B4A3EDF"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Опис кожного заходу має відповідати офіційному шаблону ПДСЕРК та включати:</w:t>
      </w:r>
    </w:p>
    <w:p w14:paraId="5A5AC3F5" w14:textId="77777777" w:rsidR="0024753F" w:rsidRPr="0024753F" w:rsidRDefault="0024753F" w:rsidP="000B7821">
      <w:pPr>
        <w:numPr>
          <w:ilvl w:val="0"/>
          <w:numId w:val="36"/>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ціль та очікуваний результат;</w:t>
      </w:r>
    </w:p>
    <w:p w14:paraId="671C6AC3" w14:textId="77777777" w:rsidR="0024753F" w:rsidRPr="0024753F" w:rsidRDefault="0024753F" w:rsidP="000B7821">
      <w:pPr>
        <w:numPr>
          <w:ilvl w:val="0"/>
          <w:numId w:val="36"/>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часові рамки (до 2030 та до 2050 року);</w:t>
      </w:r>
    </w:p>
    <w:p w14:paraId="4838B619" w14:textId="77777777" w:rsidR="0024753F" w:rsidRPr="0024753F" w:rsidRDefault="0024753F" w:rsidP="000B7821">
      <w:pPr>
        <w:numPr>
          <w:ilvl w:val="0"/>
          <w:numId w:val="36"/>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відповідальних виконавців;</w:t>
      </w:r>
    </w:p>
    <w:p w14:paraId="42AEAF34"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p>
    <w:p w14:paraId="42843ABA"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8. Джерела фінансування</w:t>
      </w:r>
    </w:p>
    <w:p w14:paraId="65CDCD6E"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 цьому розділі визначаються основні потенційні джерела фінансування заходів, передбачених у ПДСЕРК, та формується фінансова рамка Плану.</w:t>
      </w:r>
    </w:p>
    <w:p w14:paraId="234EE954"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Принципи фінансування</w:t>
      </w:r>
    </w:p>
    <w:p w14:paraId="2559F25D" w14:textId="77777777" w:rsidR="0024753F" w:rsidRPr="0024753F" w:rsidRDefault="0024753F" w:rsidP="000B7821">
      <w:pPr>
        <w:numPr>
          <w:ilvl w:val="0"/>
          <w:numId w:val="37"/>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Планування фінансування здійснюється окремо для заходів з пом’якшення наслідків зміни клімату та заходів з адаптації до змін клімату.</w:t>
      </w:r>
    </w:p>
    <w:p w14:paraId="06B3B221" w14:textId="77777777" w:rsidR="0024753F" w:rsidRPr="0024753F" w:rsidRDefault="0024753F" w:rsidP="000B7821">
      <w:pPr>
        <w:numPr>
          <w:ilvl w:val="0"/>
          <w:numId w:val="37"/>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lastRenderedPageBreak/>
        <w:t>Якщо захід має подвійний характер («пом’якшення та адаптація»), він відноситься до категорії пом’якшення, але у шаблоні ПДСЕРК позначається також компонент «адаптації».</w:t>
      </w:r>
    </w:p>
    <w:p w14:paraId="36C55562" w14:textId="77777777" w:rsidR="0024753F" w:rsidRPr="0024753F" w:rsidRDefault="0024753F" w:rsidP="000B7821">
      <w:pPr>
        <w:numPr>
          <w:ilvl w:val="0"/>
          <w:numId w:val="37"/>
        </w:numPr>
        <w:tabs>
          <w:tab w:val="clear" w:pos="720"/>
          <w:tab w:val="num" w:pos="993"/>
        </w:tabs>
        <w:spacing w:after="0" w:line="240" w:lineRule="auto"/>
        <w:ind w:left="993" w:hanging="426"/>
        <w:jc w:val="both"/>
        <w:rPr>
          <w:rFonts w:ascii="Times New Roman" w:hAnsi="Times New Roman" w:cs="Times New Roman"/>
          <w:sz w:val="24"/>
          <w:szCs w:val="24"/>
        </w:rPr>
      </w:pPr>
      <w:r w:rsidRPr="0024753F">
        <w:rPr>
          <w:rFonts w:ascii="Times New Roman" w:hAnsi="Times New Roman" w:cs="Times New Roman"/>
          <w:sz w:val="24"/>
          <w:szCs w:val="24"/>
        </w:rPr>
        <w:t>Заходи з енергетичної бідності інтегруються у відповідний напрямок (пом’якшення або адаптація) залежно від їхнього змісту.</w:t>
      </w:r>
    </w:p>
    <w:p w14:paraId="4B696FAF"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Горизонти інвестиційного планування</w:t>
      </w:r>
    </w:p>
    <w:p w14:paraId="26EE79AC" w14:textId="77777777" w:rsidR="0024753F" w:rsidRPr="0024753F" w:rsidRDefault="0024753F" w:rsidP="00ED6E19">
      <w:pPr>
        <w:numPr>
          <w:ilvl w:val="0"/>
          <w:numId w:val="38"/>
        </w:numPr>
        <w:tabs>
          <w:tab w:val="clear" w:pos="720"/>
          <w:tab w:val="left"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Середньостроковий план: до 2030 року.</w:t>
      </w:r>
    </w:p>
    <w:p w14:paraId="25BE80F2" w14:textId="77777777" w:rsidR="0024753F" w:rsidRPr="0024753F" w:rsidRDefault="0024753F" w:rsidP="00ED6E19">
      <w:pPr>
        <w:numPr>
          <w:ilvl w:val="0"/>
          <w:numId w:val="38"/>
        </w:numPr>
        <w:tabs>
          <w:tab w:val="clear" w:pos="720"/>
          <w:tab w:val="left"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Довгостроковий план: до 2050 року.</w:t>
      </w:r>
    </w:p>
    <w:p w14:paraId="18658601"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Ключові заходи</w:t>
      </w:r>
    </w:p>
    <w:p w14:paraId="09D28FC9"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Подати детальний опис ключових заходів з пом’якшення та адаптації. Для кожного заходу визначаються:</w:t>
      </w:r>
    </w:p>
    <w:p w14:paraId="6DE2C711" w14:textId="77777777" w:rsidR="0024753F" w:rsidRPr="0024753F" w:rsidRDefault="0024753F" w:rsidP="00ED6E19">
      <w:pPr>
        <w:numPr>
          <w:ilvl w:val="0"/>
          <w:numId w:val="39"/>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цілі та очікувані результати;</w:t>
      </w:r>
    </w:p>
    <w:p w14:paraId="2FFBC818" w14:textId="77777777" w:rsidR="0024753F" w:rsidRPr="0024753F" w:rsidRDefault="0024753F" w:rsidP="00ED6E19">
      <w:pPr>
        <w:numPr>
          <w:ilvl w:val="0"/>
          <w:numId w:val="39"/>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часові рамки реалізації;</w:t>
      </w:r>
    </w:p>
    <w:p w14:paraId="6938105E" w14:textId="77777777" w:rsidR="0024753F" w:rsidRPr="0024753F" w:rsidRDefault="0024753F" w:rsidP="00ED6E19">
      <w:pPr>
        <w:numPr>
          <w:ilvl w:val="0"/>
          <w:numId w:val="39"/>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відповідальні виконавці;</w:t>
      </w:r>
    </w:p>
    <w:p w14:paraId="26D8C336" w14:textId="77777777" w:rsidR="0024753F" w:rsidRPr="0024753F" w:rsidRDefault="0024753F" w:rsidP="00ED6E19">
      <w:pPr>
        <w:numPr>
          <w:ilvl w:val="0"/>
          <w:numId w:val="39"/>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можливі джерела фінансування;</w:t>
      </w:r>
    </w:p>
    <w:p w14:paraId="64C5B905" w14:textId="77777777" w:rsidR="0024753F" w:rsidRPr="0024753F" w:rsidRDefault="0024753F" w:rsidP="00ED6E19">
      <w:pPr>
        <w:numPr>
          <w:ilvl w:val="0"/>
          <w:numId w:val="39"/>
        </w:numPr>
        <w:tabs>
          <w:tab w:val="clear" w:pos="720"/>
          <w:tab w:val="num" w:pos="993"/>
        </w:tabs>
        <w:spacing w:after="0" w:line="240" w:lineRule="auto"/>
        <w:ind w:left="0" w:firstLine="567"/>
        <w:jc w:val="both"/>
        <w:rPr>
          <w:rFonts w:ascii="Times New Roman" w:hAnsi="Times New Roman" w:cs="Times New Roman"/>
          <w:sz w:val="24"/>
          <w:szCs w:val="24"/>
        </w:rPr>
      </w:pPr>
      <w:r w:rsidRPr="0024753F">
        <w:rPr>
          <w:rFonts w:ascii="Times New Roman" w:hAnsi="Times New Roman" w:cs="Times New Roman"/>
          <w:sz w:val="24"/>
          <w:szCs w:val="24"/>
        </w:rPr>
        <w:t>індикатори для моніторингу.</w:t>
      </w:r>
    </w:p>
    <w:p w14:paraId="1057DCD2" w14:textId="77777777" w:rsidR="0024753F" w:rsidRPr="0024753F" w:rsidRDefault="0024753F" w:rsidP="0024753F">
      <w:pPr>
        <w:spacing w:after="0"/>
        <w:ind w:firstLine="709"/>
        <w:jc w:val="both"/>
        <w:rPr>
          <w:rFonts w:ascii="Times New Roman" w:hAnsi="Times New Roman" w:cs="Times New Roman"/>
          <w:b/>
          <w:bCs/>
          <w:sz w:val="24"/>
          <w:szCs w:val="24"/>
        </w:rPr>
      </w:pPr>
      <w:r w:rsidRPr="0024753F">
        <w:rPr>
          <w:rFonts w:ascii="Times New Roman" w:hAnsi="Times New Roman" w:cs="Times New Roman"/>
          <w:b/>
          <w:bCs/>
          <w:sz w:val="24"/>
          <w:szCs w:val="24"/>
        </w:rPr>
        <w:t>Інвестиційний баланс</w:t>
      </w:r>
    </w:p>
    <w:p w14:paraId="15BF1C43"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На основі визначених заходів формується інвестиційний баланс ПДСЕРК, який відображає співвідношення між потребами у фінансуванні та доступними джерелами, а також пріоритетність заходів.</w:t>
      </w:r>
    </w:p>
    <w:p w14:paraId="5FAC041D" w14:textId="77777777" w:rsidR="0024753F" w:rsidRPr="0024753F" w:rsidRDefault="0024753F" w:rsidP="0024753F">
      <w:pPr>
        <w:spacing w:after="0"/>
        <w:ind w:firstLine="709"/>
        <w:jc w:val="both"/>
        <w:rPr>
          <w:rFonts w:ascii="Times New Roman" w:hAnsi="Times New Roman" w:cs="Times New Roman"/>
          <w:sz w:val="24"/>
          <w:szCs w:val="24"/>
        </w:rPr>
      </w:pPr>
    </w:p>
    <w:p w14:paraId="6526BB34" w14:textId="77777777" w:rsidR="0024753F" w:rsidRPr="0024753F" w:rsidRDefault="0024753F" w:rsidP="0024753F">
      <w:pPr>
        <w:spacing w:after="0"/>
        <w:ind w:firstLine="709"/>
        <w:jc w:val="both"/>
        <w:outlineLvl w:val="0"/>
        <w:rPr>
          <w:rFonts w:ascii="Times New Roman" w:hAnsi="Times New Roman" w:cs="Times New Roman"/>
          <w:b/>
          <w:bCs/>
          <w:sz w:val="24"/>
          <w:szCs w:val="24"/>
        </w:rPr>
      </w:pPr>
      <w:r w:rsidRPr="0024753F">
        <w:rPr>
          <w:rFonts w:ascii="Times New Roman" w:hAnsi="Times New Roman" w:cs="Times New Roman"/>
          <w:b/>
          <w:bCs/>
          <w:sz w:val="24"/>
          <w:szCs w:val="24"/>
        </w:rPr>
        <w:t>Очікувані результати</w:t>
      </w:r>
    </w:p>
    <w:p w14:paraId="19E89E99" w14:textId="77777777" w:rsidR="0024753F" w:rsidRPr="0024753F" w:rsidRDefault="0024753F" w:rsidP="00ED6E19">
      <w:pPr>
        <w:numPr>
          <w:ilvl w:val="0"/>
          <w:numId w:val="40"/>
        </w:numPr>
        <w:spacing w:after="0" w:line="240" w:lineRule="auto"/>
        <w:ind w:left="993" w:hanging="284"/>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Вступний звіт</w:t>
      </w:r>
      <w:r w:rsidRPr="0024753F">
        <w:rPr>
          <w:rFonts w:ascii="Times New Roman" w:eastAsia="Times New Roman" w:hAnsi="Times New Roman" w:cs="Times New Roman"/>
          <w:sz w:val="24"/>
          <w:szCs w:val="24"/>
          <w:lang w:eastAsia="uk-UA"/>
        </w:rPr>
        <w:t xml:space="preserve"> (методологія, графік, ролі, карта стейкхолдерів).</w:t>
      </w:r>
    </w:p>
    <w:p w14:paraId="0C190BDB" w14:textId="77777777" w:rsidR="0024753F" w:rsidRPr="0024753F" w:rsidRDefault="0024753F" w:rsidP="00ED6E19">
      <w:pPr>
        <w:numPr>
          <w:ilvl w:val="0"/>
          <w:numId w:val="40"/>
        </w:numPr>
        <w:spacing w:after="0" w:line="240" w:lineRule="auto"/>
        <w:ind w:left="993" w:hanging="284"/>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Звіти BEI та RVA</w:t>
      </w:r>
      <w:r w:rsidRPr="0024753F">
        <w:rPr>
          <w:rFonts w:ascii="Times New Roman" w:eastAsia="Times New Roman" w:hAnsi="Times New Roman" w:cs="Times New Roman"/>
          <w:sz w:val="24"/>
          <w:szCs w:val="24"/>
          <w:lang w:eastAsia="uk-UA"/>
        </w:rPr>
        <w:t xml:space="preserve"> (включаючи джерела даних).</w:t>
      </w:r>
    </w:p>
    <w:p w14:paraId="37E893D8" w14:textId="77777777" w:rsidR="0024753F" w:rsidRPr="0024753F" w:rsidRDefault="0024753F" w:rsidP="00ED6E19">
      <w:pPr>
        <w:numPr>
          <w:ilvl w:val="0"/>
          <w:numId w:val="40"/>
        </w:numPr>
        <w:spacing w:after="0" w:line="240" w:lineRule="auto"/>
        <w:ind w:left="993" w:hanging="284"/>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Проєкт ПДСЕРК</w:t>
      </w:r>
      <w:r w:rsidRPr="0024753F">
        <w:rPr>
          <w:rFonts w:ascii="Times New Roman" w:eastAsia="Times New Roman" w:hAnsi="Times New Roman" w:cs="Times New Roman"/>
          <w:sz w:val="24"/>
          <w:szCs w:val="24"/>
          <w:lang w:eastAsia="uk-UA"/>
        </w:rPr>
        <w:t xml:space="preserve"> (включаючи стратегії, заходи, фінансування).</w:t>
      </w:r>
    </w:p>
    <w:p w14:paraId="707CA3A7" w14:textId="77777777" w:rsidR="0024753F" w:rsidRPr="0024753F" w:rsidRDefault="0024753F" w:rsidP="00ED6E19">
      <w:pPr>
        <w:numPr>
          <w:ilvl w:val="0"/>
          <w:numId w:val="40"/>
        </w:numPr>
        <w:spacing w:after="0" w:line="240" w:lineRule="auto"/>
        <w:ind w:left="993" w:hanging="284"/>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Звіт про консультації з громадськістю</w:t>
      </w:r>
      <w:r w:rsidRPr="0024753F">
        <w:rPr>
          <w:rFonts w:ascii="Times New Roman" w:eastAsia="Times New Roman" w:hAnsi="Times New Roman" w:cs="Times New Roman"/>
          <w:sz w:val="24"/>
          <w:szCs w:val="24"/>
          <w:lang w:eastAsia="uk-UA"/>
        </w:rPr>
        <w:t>.</w:t>
      </w:r>
    </w:p>
    <w:p w14:paraId="789F23DE" w14:textId="77777777" w:rsidR="0024753F" w:rsidRPr="0024753F" w:rsidRDefault="0024753F" w:rsidP="00ED6E19">
      <w:pPr>
        <w:numPr>
          <w:ilvl w:val="0"/>
          <w:numId w:val="40"/>
        </w:numPr>
        <w:spacing w:after="0" w:line="240" w:lineRule="auto"/>
        <w:ind w:left="993" w:hanging="284"/>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Фінальний ПДСЕРК</w:t>
      </w:r>
      <w:r w:rsidRPr="0024753F">
        <w:rPr>
          <w:rFonts w:ascii="Times New Roman" w:eastAsia="Times New Roman" w:hAnsi="Times New Roman" w:cs="Times New Roman"/>
          <w:sz w:val="24"/>
          <w:szCs w:val="24"/>
          <w:lang w:eastAsia="uk-UA"/>
        </w:rPr>
        <w:t>, включаючи:</w:t>
      </w:r>
    </w:p>
    <w:p w14:paraId="0C2FF290" w14:textId="77777777" w:rsidR="0024753F" w:rsidRPr="0024753F" w:rsidRDefault="0024753F" w:rsidP="00ED6E19">
      <w:pPr>
        <w:numPr>
          <w:ilvl w:val="1"/>
          <w:numId w:val="40"/>
        </w:numPr>
        <w:tabs>
          <w:tab w:val="clear" w:pos="1440"/>
          <w:tab w:val="num" w:pos="1843"/>
        </w:tabs>
        <w:spacing w:after="0" w:line="240" w:lineRule="auto"/>
        <w:ind w:left="0" w:firstLine="1560"/>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sz w:val="24"/>
          <w:szCs w:val="24"/>
          <w:lang w:eastAsia="uk-UA"/>
        </w:rPr>
        <w:t>Цілі на 2030 рік (повинні узгоджуватися з цілями МЕП);</w:t>
      </w:r>
    </w:p>
    <w:p w14:paraId="26793BFB" w14:textId="77777777" w:rsidR="0024753F" w:rsidRPr="0024753F" w:rsidRDefault="0024753F" w:rsidP="00ED6E19">
      <w:pPr>
        <w:numPr>
          <w:ilvl w:val="1"/>
          <w:numId w:val="40"/>
        </w:numPr>
        <w:tabs>
          <w:tab w:val="clear" w:pos="1440"/>
          <w:tab w:val="num" w:pos="1843"/>
        </w:tabs>
        <w:spacing w:after="0" w:line="240" w:lineRule="auto"/>
        <w:ind w:left="0" w:firstLine="1560"/>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sz w:val="24"/>
          <w:szCs w:val="24"/>
          <w:lang w:eastAsia="uk-UA"/>
        </w:rPr>
        <w:t>Бачення до 2050 року;</w:t>
      </w:r>
    </w:p>
    <w:p w14:paraId="13FED278" w14:textId="77777777" w:rsidR="0024753F" w:rsidRPr="0024753F" w:rsidRDefault="0024753F" w:rsidP="00ED6E19">
      <w:pPr>
        <w:numPr>
          <w:ilvl w:val="1"/>
          <w:numId w:val="40"/>
        </w:numPr>
        <w:tabs>
          <w:tab w:val="clear" w:pos="1440"/>
          <w:tab w:val="num" w:pos="1843"/>
        </w:tabs>
        <w:spacing w:after="0" w:line="240" w:lineRule="auto"/>
        <w:ind w:left="0" w:firstLine="1560"/>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sz w:val="24"/>
          <w:szCs w:val="24"/>
          <w:lang w:eastAsia="uk-UA"/>
        </w:rPr>
        <w:t>План реалізації та моніторингу.</w:t>
      </w:r>
    </w:p>
    <w:p w14:paraId="31DD079B" w14:textId="77777777" w:rsidR="0024753F" w:rsidRPr="0024753F" w:rsidRDefault="0024753F" w:rsidP="00ED6E19">
      <w:pPr>
        <w:numPr>
          <w:ilvl w:val="0"/>
          <w:numId w:val="40"/>
        </w:numPr>
        <w:spacing w:after="0" w:line="240" w:lineRule="auto"/>
        <w:ind w:left="993" w:hanging="284"/>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Презентація для міської ради та громадське представлення</w:t>
      </w:r>
      <w:r w:rsidRPr="0024753F">
        <w:rPr>
          <w:rFonts w:ascii="Times New Roman" w:eastAsia="Times New Roman" w:hAnsi="Times New Roman" w:cs="Times New Roman"/>
          <w:sz w:val="24"/>
          <w:szCs w:val="24"/>
          <w:lang w:eastAsia="uk-UA"/>
        </w:rPr>
        <w:t>.</w:t>
      </w:r>
    </w:p>
    <w:p w14:paraId="0779A020" w14:textId="77777777" w:rsidR="0024753F" w:rsidRPr="0024753F" w:rsidRDefault="0024753F" w:rsidP="00ED6E19">
      <w:pPr>
        <w:numPr>
          <w:ilvl w:val="0"/>
          <w:numId w:val="40"/>
        </w:numPr>
        <w:spacing w:after="0" w:line="240" w:lineRule="auto"/>
        <w:ind w:left="993" w:hanging="284"/>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Переклад всього ПДСЕРК на англійську мову</w:t>
      </w:r>
      <w:r w:rsidRPr="0024753F">
        <w:rPr>
          <w:rFonts w:ascii="Times New Roman" w:eastAsia="Times New Roman" w:hAnsi="Times New Roman" w:cs="Times New Roman"/>
          <w:sz w:val="24"/>
          <w:szCs w:val="24"/>
          <w:lang w:eastAsia="uk-UA"/>
        </w:rPr>
        <w:t>.</w:t>
      </w:r>
    </w:p>
    <w:p w14:paraId="6000A4CB" w14:textId="77777777" w:rsidR="0024753F" w:rsidRPr="0024753F" w:rsidRDefault="0024753F" w:rsidP="0024753F">
      <w:pPr>
        <w:spacing w:after="0"/>
        <w:ind w:firstLine="709"/>
        <w:jc w:val="both"/>
        <w:rPr>
          <w:rFonts w:ascii="Times New Roman" w:hAnsi="Times New Roman" w:cs="Times New Roman"/>
          <w:sz w:val="24"/>
          <w:szCs w:val="24"/>
        </w:rPr>
      </w:pPr>
    </w:p>
    <w:p w14:paraId="13BEF04B" w14:textId="77777777" w:rsidR="0024753F" w:rsidRPr="0024753F" w:rsidRDefault="0024753F" w:rsidP="0024753F">
      <w:pPr>
        <w:spacing w:after="0"/>
        <w:ind w:firstLine="709"/>
        <w:jc w:val="both"/>
        <w:outlineLvl w:val="0"/>
        <w:rPr>
          <w:rFonts w:ascii="Times New Roman" w:hAnsi="Times New Roman" w:cs="Times New Roman"/>
          <w:b/>
          <w:bCs/>
          <w:sz w:val="24"/>
          <w:szCs w:val="24"/>
        </w:rPr>
      </w:pPr>
      <w:r w:rsidRPr="0024753F">
        <w:rPr>
          <w:rFonts w:ascii="Times New Roman" w:hAnsi="Times New Roman" w:cs="Times New Roman"/>
          <w:b/>
          <w:bCs/>
          <w:sz w:val="24"/>
          <w:szCs w:val="24"/>
        </w:rPr>
        <w:t>Формат документів</w:t>
      </w:r>
    </w:p>
    <w:p w14:paraId="1F1519FB" w14:textId="77777777" w:rsidR="0024753F" w:rsidRPr="0024753F" w:rsidRDefault="0024753F" w:rsidP="0024753F">
      <w:pPr>
        <w:widowControl w:val="0"/>
        <w:tabs>
          <w:tab w:val="left" w:pos="0"/>
        </w:tabs>
        <w:spacing w:after="0"/>
        <w:ind w:firstLine="709"/>
        <w:jc w:val="both"/>
        <w:rPr>
          <w:rStyle w:val="bzpyqfadein"/>
          <w:rFonts w:ascii="Times New Roman" w:hAnsi="Times New Roman" w:cs="Times New Roman"/>
          <w:sz w:val="24"/>
          <w:szCs w:val="24"/>
        </w:rPr>
      </w:pPr>
      <w:r w:rsidRPr="0024753F">
        <w:rPr>
          <w:rStyle w:val="bzpyqfadein"/>
          <w:rFonts w:ascii="Times New Roman" w:hAnsi="Times New Roman" w:cs="Times New Roman"/>
          <w:sz w:val="24"/>
          <w:szCs w:val="24"/>
        </w:rPr>
        <w:t>ПДСЕРК розробляється та передається Замовнику у вигляді повного комплекту документів, що включає текст ПДСЕРК з усіма додатками, а також його переклад англійською мовою. Документи надаються в електронному вигляді у форматах MS Word та Adobe Acrobat (PDF).</w:t>
      </w:r>
    </w:p>
    <w:p w14:paraId="07927686" w14:textId="77777777" w:rsidR="0024753F" w:rsidRPr="0024753F" w:rsidRDefault="0024753F" w:rsidP="0024753F">
      <w:pPr>
        <w:widowControl w:val="0"/>
        <w:tabs>
          <w:tab w:val="left" w:pos="0"/>
        </w:tabs>
        <w:spacing w:after="0"/>
        <w:ind w:firstLine="709"/>
        <w:jc w:val="both"/>
        <w:rPr>
          <w:rStyle w:val="bzpyqfadein"/>
          <w:rFonts w:ascii="Times New Roman" w:hAnsi="Times New Roman" w:cs="Times New Roman"/>
          <w:sz w:val="24"/>
          <w:szCs w:val="24"/>
        </w:rPr>
      </w:pPr>
      <w:r w:rsidRPr="0024753F">
        <w:rPr>
          <w:rStyle w:val="bzpyqfadein"/>
          <w:rFonts w:ascii="Times New Roman" w:hAnsi="Times New Roman" w:cs="Times New Roman"/>
          <w:sz w:val="24"/>
          <w:szCs w:val="24"/>
        </w:rPr>
        <w:t>При цьому табличні дані додатково надаються у форматі MS Excel. Усі розрахунки мають бути представлені у вигляді формул і пов’язаних функцій, а не лише у вигляді обчислених числових значень, щоб Замовник мав можливість перевірки та оновлення даних.</w:t>
      </w:r>
    </w:p>
    <w:p w14:paraId="18D998F9" w14:textId="77777777" w:rsidR="0024753F" w:rsidRPr="0024753F" w:rsidRDefault="0024753F" w:rsidP="0024753F">
      <w:pPr>
        <w:widowControl w:val="0"/>
        <w:tabs>
          <w:tab w:val="left" w:pos="0"/>
        </w:tabs>
        <w:spacing w:after="0"/>
        <w:ind w:firstLine="709"/>
        <w:jc w:val="both"/>
        <w:rPr>
          <w:rStyle w:val="bzpyqfadein"/>
          <w:rFonts w:ascii="Times New Roman" w:hAnsi="Times New Roman" w:cs="Times New Roman"/>
          <w:sz w:val="24"/>
          <w:szCs w:val="24"/>
        </w:rPr>
      </w:pPr>
      <w:r w:rsidRPr="0024753F">
        <w:rPr>
          <w:rStyle w:val="bzpyqfadein"/>
          <w:rFonts w:ascii="Times New Roman" w:hAnsi="Times New Roman" w:cs="Times New Roman"/>
          <w:sz w:val="24"/>
          <w:szCs w:val="24"/>
        </w:rPr>
        <w:t>Усі графічні матеріали (схеми, діаграми, карти, ілюстрації), що входять до складу ПДСЕРК, повинні бути виконані з роздільною здатністю не менше 300 dpi та забезпечувати якісне відтворення при друці. За можливості графічні матеріали повинні надаватися також у векторному форматі (SVG, EPS, AI або аналогічних), придатному для подальшого редагування без втрати якості.</w:t>
      </w:r>
    </w:p>
    <w:p w14:paraId="6ECE34F6"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Усі географічні дані (GIS), що будуть створені або використані в межах ПДСЕРК, мають передаватися у загальноприйнятих форматах (наприклад, shapefile, GeoJSON, Geodatabase) та мати можливість редагування Замовником у стандартних GIS-програмах.</w:t>
      </w:r>
    </w:p>
    <w:p w14:paraId="77D2BD85" w14:textId="77777777" w:rsidR="0024753F" w:rsidRPr="0024753F" w:rsidRDefault="0024753F" w:rsidP="0024753F">
      <w:pPr>
        <w:spacing w:after="0"/>
        <w:ind w:firstLine="709"/>
        <w:jc w:val="both"/>
        <w:rPr>
          <w:rFonts w:ascii="Times New Roman" w:hAnsi="Times New Roman" w:cs="Times New Roman"/>
          <w:sz w:val="24"/>
          <w:szCs w:val="24"/>
        </w:rPr>
      </w:pPr>
    </w:p>
    <w:p w14:paraId="6ABD96C4" w14:textId="77777777" w:rsidR="0024753F" w:rsidRPr="0024753F" w:rsidRDefault="0024753F" w:rsidP="0024753F">
      <w:pPr>
        <w:spacing w:after="0"/>
        <w:ind w:firstLine="709"/>
        <w:jc w:val="both"/>
        <w:rPr>
          <w:rFonts w:ascii="Times New Roman" w:hAnsi="Times New Roman" w:cs="Times New Roman"/>
          <w:b/>
          <w:sz w:val="24"/>
          <w:szCs w:val="24"/>
        </w:rPr>
      </w:pPr>
      <w:r w:rsidRPr="0024753F">
        <w:rPr>
          <w:rFonts w:ascii="Times New Roman" w:hAnsi="Times New Roman" w:cs="Times New Roman"/>
          <w:b/>
          <w:sz w:val="24"/>
          <w:szCs w:val="24"/>
        </w:rPr>
        <w:lastRenderedPageBreak/>
        <w:t>Координація та звітність</w:t>
      </w:r>
    </w:p>
    <w:p w14:paraId="064DDC5C" w14:textId="77777777" w:rsidR="0024753F" w:rsidRPr="0024753F" w:rsidRDefault="0024753F" w:rsidP="00424C7D">
      <w:pPr>
        <w:pStyle w:val="a3"/>
        <w:numPr>
          <w:ilvl w:val="0"/>
          <w:numId w:val="42"/>
        </w:numPr>
        <w:tabs>
          <w:tab w:val="left" w:pos="993"/>
        </w:tabs>
        <w:spacing w:after="0" w:line="240" w:lineRule="auto"/>
        <w:ind w:left="0" w:firstLine="709"/>
        <w:contextualSpacing w:val="0"/>
        <w:jc w:val="both"/>
        <w:rPr>
          <w:rFonts w:ascii="Times New Roman" w:hAnsi="Times New Roman" w:cs="Times New Roman"/>
          <w:sz w:val="24"/>
          <w:szCs w:val="24"/>
        </w:rPr>
      </w:pPr>
      <w:r w:rsidRPr="0024753F">
        <w:rPr>
          <w:rFonts w:ascii="Times New Roman" w:hAnsi="Times New Roman" w:cs="Times New Roman"/>
          <w:sz w:val="24"/>
          <w:szCs w:val="24"/>
        </w:rPr>
        <w:t>Регулярні звіти та координаційні наради.</w:t>
      </w:r>
    </w:p>
    <w:p w14:paraId="740B7243" w14:textId="77777777" w:rsidR="0024753F" w:rsidRPr="0024753F" w:rsidRDefault="0024753F" w:rsidP="00424C7D">
      <w:pPr>
        <w:pStyle w:val="a3"/>
        <w:numPr>
          <w:ilvl w:val="0"/>
          <w:numId w:val="42"/>
        </w:numPr>
        <w:tabs>
          <w:tab w:val="left" w:pos="993"/>
        </w:tabs>
        <w:spacing w:after="0" w:line="240" w:lineRule="auto"/>
        <w:ind w:left="0" w:firstLine="709"/>
        <w:contextualSpacing w:val="0"/>
        <w:jc w:val="both"/>
        <w:rPr>
          <w:rFonts w:ascii="Times New Roman" w:hAnsi="Times New Roman" w:cs="Times New Roman"/>
          <w:sz w:val="24"/>
          <w:szCs w:val="24"/>
        </w:rPr>
      </w:pPr>
      <w:r w:rsidRPr="0024753F">
        <w:rPr>
          <w:rFonts w:ascii="Times New Roman" w:hAnsi="Times New Roman" w:cs="Times New Roman"/>
          <w:sz w:val="24"/>
          <w:szCs w:val="24"/>
        </w:rPr>
        <w:t>Взаємодія з національними/територіальними координаторами Угоди мерів.</w:t>
      </w:r>
    </w:p>
    <w:p w14:paraId="762B610F" w14:textId="77777777" w:rsidR="0024753F" w:rsidRPr="0024753F" w:rsidRDefault="0024753F" w:rsidP="0024753F">
      <w:pPr>
        <w:spacing w:after="0"/>
        <w:ind w:firstLine="709"/>
        <w:jc w:val="both"/>
        <w:rPr>
          <w:rFonts w:ascii="Times New Roman" w:hAnsi="Times New Roman" w:cs="Times New Roman"/>
          <w:sz w:val="24"/>
          <w:szCs w:val="24"/>
        </w:rPr>
      </w:pPr>
    </w:p>
    <w:p w14:paraId="79376BDD"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b/>
          <w:sz w:val="24"/>
          <w:szCs w:val="24"/>
        </w:rPr>
        <w:t>Термін виконання:</w:t>
      </w:r>
      <w:r w:rsidRPr="0024753F">
        <w:rPr>
          <w:rFonts w:ascii="Times New Roman" w:hAnsi="Times New Roman" w:cs="Times New Roman"/>
          <w:sz w:val="24"/>
          <w:szCs w:val="24"/>
        </w:rPr>
        <w:t xml:space="preserve"> до 30 жовтня 2026 року.</w:t>
      </w:r>
    </w:p>
    <w:p w14:paraId="5E320162" w14:textId="77777777" w:rsidR="0024753F" w:rsidRPr="0024753F" w:rsidRDefault="0024753F" w:rsidP="0024753F">
      <w:pPr>
        <w:spacing w:after="0"/>
        <w:ind w:firstLine="709"/>
        <w:jc w:val="both"/>
        <w:rPr>
          <w:rFonts w:ascii="Times New Roman" w:hAnsi="Times New Roman" w:cs="Times New Roman"/>
          <w:sz w:val="24"/>
          <w:szCs w:val="24"/>
        </w:rPr>
      </w:pPr>
    </w:p>
    <w:p w14:paraId="3F6BEF6F" w14:textId="77777777" w:rsidR="0024753F" w:rsidRPr="0024753F" w:rsidRDefault="0024753F" w:rsidP="00424C7D">
      <w:pPr>
        <w:spacing w:after="0"/>
        <w:ind w:firstLine="709"/>
        <w:jc w:val="center"/>
        <w:outlineLvl w:val="0"/>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color w:val="000000"/>
          <w:sz w:val="24"/>
          <w:szCs w:val="24"/>
          <w:lang w:eastAsia="uk-UA"/>
        </w:rPr>
        <w:t>Орієнтовний календарний план</w:t>
      </w:r>
    </w:p>
    <w:p w14:paraId="2ACD3F35" w14:textId="77777777" w:rsidR="0024753F" w:rsidRPr="0024753F" w:rsidRDefault="0024753F" w:rsidP="00424C7D">
      <w:pPr>
        <w:spacing w:after="0"/>
        <w:ind w:firstLine="709"/>
        <w:jc w:val="center"/>
        <w:rPr>
          <w:rFonts w:ascii="Times New Roman" w:eastAsia="Times New Roman" w:hAnsi="Times New Roman" w:cs="Times New Roman"/>
          <w:color w:val="000000"/>
          <w:sz w:val="24"/>
          <w:szCs w:val="24"/>
          <w:lang w:eastAsia="uk-UA"/>
        </w:rPr>
      </w:pPr>
      <w:r w:rsidRPr="0024753F">
        <w:rPr>
          <w:rFonts w:ascii="Times New Roman" w:eastAsia="Times New Roman" w:hAnsi="Times New Roman" w:cs="Times New Roman"/>
          <w:color w:val="000000"/>
          <w:sz w:val="24"/>
          <w:szCs w:val="24"/>
          <w:lang w:eastAsia="uk-UA"/>
        </w:rPr>
        <w:t>з підготовки Плану дій сталого енергетичного розвитку та клімату Хмельницької міської територіальної громади на період до 2050</w:t>
      </w:r>
    </w:p>
    <w:p w14:paraId="1EFE8B7A" w14:textId="77777777" w:rsidR="0024753F" w:rsidRPr="0024753F" w:rsidRDefault="0024753F" w:rsidP="0024753F">
      <w:pPr>
        <w:spacing w:after="0"/>
        <w:ind w:firstLine="709"/>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562"/>
        <w:gridCol w:w="6521"/>
        <w:gridCol w:w="2405"/>
      </w:tblGrid>
      <w:tr w:rsidR="0024753F" w:rsidRPr="0024753F" w14:paraId="5AC00272" w14:textId="77777777" w:rsidTr="00227DD4">
        <w:tc>
          <w:tcPr>
            <w:tcW w:w="562" w:type="dxa"/>
          </w:tcPr>
          <w:p w14:paraId="26399C24" w14:textId="77777777" w:rsidR="0024753F" w:rsidRPr="0024753F" w:rsidRDefault="0024753F" w:rsidP="00227DD4">
            <w:pPr>
              <w:jc w:val="left"/>
              <w:rPr>
                <w:szCs w:val="24"/>
              </w:rPr>
            </w:pPr>
            <w:r w:rsidRPr="0024753F">
              <w:rPr>
                <w:szCs w:val="24"/>
              </w:rPr>
              <w:t>№</w:t>
            </w:r>
          </w:p>
          <w:p w14:paraId="0B27DC3C" w14:textId="77777777" w:rsidR="0024753F" w:rsidRPr="0024753F" w:rsidRDefault="0024753F" w:rsidP="00227DD4">
            <w:pPr>
              <w:jc w:val="left"/>
              <w:rPr>
                <w:szCs w:val="24"/>
              </w:rPr>
            </w:pPr>
            <w:r w:rsidRPr="0024753F">
              <w:rPr>
                <w:szCs w:val="24"/>
              </w:rPr>
              <w:t>з/п</w:t>
            </w:r>
          </w:p>
        </w:tc>
        <w:tc>
          <w:tcPr>
            <w:tcW w:w="6521" w:type="dxa"/>
          </w:tcPr>
          <w:p w14:paraId="1338A465" w14:textId="77777777" w:rsidR="0024753F" w:rsidRPr="0024753F" w:rsidRDefault="0024753F" w:rsidP="00227DD4">
            <w:pPr>
              <w:jc w:val="center"/>
              <w:rPr>
                <w:szCs w:val="24"/>
              </w:rPr>
            </w:pPr>
            <w:r w:rsidRPr="0024753F">
              <w:rPr>
                <w:szCs w:val="24"/>
              </w:rPr>
              <w:t>Зміст етапу</w:t>
            </w:r>
          </w:p>
        </w:tc>
        <w:tc>
          <w:tcPr>
            <w:tcW w:w="2405" w:type="dxa"/>
          </w:tcPr>
          <w:p w14:paraId="7F076BD0" w14:textId="77777777" w:rsidR="0024753F" w:rsidRPr="0024753F" w:rsidRDefault="0024753F" w:rsidP="00227DD4">
            <w:pPr>
              <w:ind w:firstLine="34"/>
              <w:jc w:val="center"/>
              <w:rPr>
                <w:szCs w:val="24"/>
              </w:rPr>
            </w:pPr>
            <w:r w:rsidRPr="0024753F">
              <w:rPr>
                <w:szCs w:val="24"/>
              </w:rPr>
              <w:t>Строк виконання</w:t>
            </w:r>
          </w:p>
        </w:tc>
      </w:tr>
      <w:tr w:rsidR="0024753F" w:rsidRPr="0024753F" w14:paraId="363492C1" w14:textId="77777777" w:rsidTr="00227DD4">
        <w:tc>
          <w:tcPr>
            <w:tcW w:w="562" w:type="dxa"/>
          </w:tcPr>
          <w:p w14:paraId="132AC13C" w14:textId="77777777" w:rsidR="0024753F" w:rsidRPr="0024753F" w:rsidRDefault="0024753F" w:rsidP="00227DD4">
            <w:pPr>
              <w:jc w:val="left"/>
              <w:rPr>
                <w:szCs w:val="24"/>
              </w:rPr>
            </w:pPr>
            <w:r w:rsidRPr="0024753F">
              <w:rPr>
                <w:szCs w:val="24"/>
              </w:rPr>
              <w:t>1.</w:t>
            </w:r>
          </w:p>
        </w:tc>
        <w:tc>
          <w:tcPr>
            <w:tcW w:w="6521" w:type="dxa"/>
          </w:tcPr>
          <w:p w14:paraId="6A43CAE6" w14:textId="77777777" w:rsidR="0024753F" w:rsidRPr="0024753F" w:rsidRDefault="0024753F" w:rsidP="00227DD4">
            <w:pPr>
              <w:ind w:firstLine="232"/>
              <w:rPr>
                <w:szCs w:val="24"/>
              </w:rPr>
            </w:pPr>
            <w:r w:rsidRPr="0024753F">
              <w:rPr>
                <w:szCs w:val="24"/>
              </w:rPr>
              <w:t>Проведення зустрічей із залученими сторонами (робочою групою) і налагодження комунікації, збір вихідної інформації та верифікація даних, аналіз вихідного стану енергетичного розвитку територіальної громади, розроблення енергетичного балансу громади, розроблення базового кадастру викидів, оцінка ризиків та вразливостей.</w:t>
            </w:r>
          </w:p>
        </w:tc>
        <w:tc>
          <w:tcPr>
            <w:tcW w:w="2405" w:type="dxa"/>
          </w:tcPr>
          <w:p w14:paraId="45CBCAEC" w14:textId="60A812A2" w:rsidR="0024753F" w:rsidRPr="0024753F" w:rsidRDefault="00D919A0" w:rsidP="00227DD4">
            <w:pPr>
              <w:ind w:hanging="108"/>
              <w:jc w:val="center"/>
              <w:rPr>
                <w:szCs w:val="24"/>
              </w:rPr>
            </w:pPr>
            <w:r>
              <w:rPr>
                <w:szCs w:val="24"/>
              </w:rPr>
              <w:t>Травень</w:t>
            </w:r>
            <w:r w:rsidR="0024753F" w:rsidRPr="0024753F">
              <w:rPr>
                <w:szCs w:val="24"/>
              </w:rPr>
              <w:t xml:space="preserve"> - червень 2026</w:t>
            </w:r>
          </w:p>
        </w:tc>
      </w:tr>
      <w:tr w:rsidR="0024753F" w:rsidRPr="0024753F" w14:paraId="73C34634" w14:textId="77777777" w:rsidTr="00227DD4">
        <w:tc>
          <w:tcPr>
            <w:tcW w:w="562" w:type="dxa"/>
          </w:tcPr>
          <w:p w14:paraId="19EED9D8" w14:textId="77777777" w:rsidR="0024753F" w:rsidRPr="0024753F" w:rsidRDefault="0024753F" w:rsidP="00227DD4">
            <w:pPr>
              <w:jc w:val="left"/>
              <w:rPr>
                <w:szCs w:val="24"/>
              </w:rPr>
            </w:pPr>
            <w:r w:rsidRPr="0024753F">
              <w:rPr>
                <w:szCs w:val="24"/>
              </w:rPr>
              <w:t>2.</w:t>
            </w:r>
          </w:p>
        </w:tc>
        <w:tc>
          <w:tcPr>
            <w:tcW w:w="6521" w:type="dxa"/>
          </w:tcPr>
          <w:p w14:paraId="7B28043D" w14:textId="51811A15" w:rsidR="0024753F" w:rsidRPr="0024753F" w:rsidRDefault="0024753F" w:rsidP="00227DD4">
            <w:pPr>
              <w:ind w:firstLine="232"/>
              <w:rPr>
                <w:szCs w:val="24"/>
              </w:rPr>
            </w:pPr>
            <w:r w:rsidRPr="0024753F">
              <w:rPr>
                <w:szCs w:val="24"/>
              </w:rPr>
              <w:t>Аналіз енергетичної безпеки та енергетичної бідності, розроблення Ст</w:t>
            </w:r>
            <w:r w:rsidR="00227DD4">
              <w:rPr>
                <w:szCs w:val="24"/>
              </w:rPr>
              <w:t>ратегії щодо енергії та клімату</w:t>
            </w:r>
            <w:r w:rsidRPr="0024753F">
              <w:rPr>
                <w:szCs w:val="24"/>
              </w:rPr>
              <w:t>, розроблення плану заходів ПДСЕРК.</w:t>
            </w:r>
          </w:p>
        </w:tc>
        <w:tc>
          <w:tcPr>
            <w:tcW w:w="2405" w:type="dxa"/>
          </w:tcPr>
          <w:p w14:paraId="49379105" w14:textId="77777777" w:rsidR="0024753F" w:rsidRPr="0024753F" w:rsidRDefault="0024753F" w:rsidP="00227DD4">
            <w:pPr>
              <w:jc w:val="center"/>
              <w:rPr>
                <w:szCs w:val="24"/>
              </w:rPr>
            </w:pPr>
            <w:r w:rsidRPr="0024753F">
              <w:rPr>
                <w:szCs w:val="24"/>
              </w:rPr>
              <w:t>Липень - серпень 2026</w:t>
            </w:r>
          </w:p>
        </w:tc>
      </w:tr>
      <w:tr w:rsidR="0024753F" w:rsidRPr="0024753F" w14:paraId="756989A3" w14:textId="77777777" w:rsidTr="00227DD4">
        <w:tc>
          <w:tcPr>
            <w:tcW w:w="562" w:type="dxa"/>
          </w:tcPr>
          <w:p w14:paraId="25692D7B" w14:textId="77777777" w:rsidR="0024753F" w:rsidRPr="0024753F" w:rsidRDefault="0024753F" w:rsidP="00227DD4">
            <w:pPr>
              <w:jc w:val="left"/>
              <w:rPr>
                <w:szCs w:val="24"/>
              </w:rPr>
            </w:pPr>
            <w:r w:rsidRPr="0024753F">
              <w:rPr>
                <w:szCs w:val="24"/>
              </w:rPr>
              <w:t>3.</w:t>
            </w:r>
          </w:p>
        </w:tc>
        <w:tc>
          <w:tcPr>
            <w:tcW w:w="6521" w:type="dxa"/>
          </w:tcPr>
          <w:p w14:paraId="4F02936F" w14:textId="77777777" w:rsidR="0024753F" w:rsidRPr="0024753F" w:rsidRDefault="0024753F" w:rsidP="00227DD4">
            <w:pPr>
              <w:ind w:firstLine="232"/>
              <w:rPr>
                <w:szCs w:val="24"/>
              </w:rPr>
            </w:pPr>
            <w:r w:rsidRPr="0024753F">
              <w:rPr>
                <w:szCs w:val="24"/>
              </w:rPr>
              <w:t>Розроблення фінансової моделі, попередній проєкт ПДСЕРК, організація проведення громадського обговорення з метою врахування пропозицій і зауважень зацікавлених сторін, доопрацювання документа за результатами обговорення, формування фінальної версії ПДСЕРК із перекладом англійською мовою, підготовка презентаційних матеріалів та представлення документа на розгляд і затвердження міської ради.</w:t>
            </w:r>
          </w:p>
        </w:tc>
        <w:tc>
          <w:tcPr>
            <w:tcW w:w="2405" w:type="dxa"/>
          </w:tcPr>
          <w:p w14:paraId="30DEFBAB" w14:textId="77777777" w:rsidR="0024753F" w:rsidRPr="0024753F" w:rsidRDefault="0024753F" w:rsidP="00227DD4">
            <w:pPr>
              <w:jc w:val="center"/>
              <w:rPr>
                <w:szCs w:val="24"/>
              </w:rPr>
            </w:pPr>
            <w:r w:rsidRPr="0024753F">
              <w:rPr>
                <w:szCs w:val="24"/>
              </w:rPr>
              <w:t>Вересень – жовтень 2026</w:t>
            </w:r>
          </w:p>
        </w:tc>
      </w:tr>
    </w:tbl>
    <w:p w14:paraId="6CD22D18" w14:textId="77777777" w:rsidR="0024753F" w:rsidRPr="0024753F" w:rsidRDefault="0024753F" w:rsidP="0024753F">
      <w:pPr>
        <w:spacing w:after="0"/>
        <w:ind w:firstLine="709"/>
        <w:jc w:val="both"/>
        <w:rPr>
          <w:rFonts w:ascii="Times New Roman" w:hAnsi="Times New Roman" w:cs="Times New Roman"/>
          <w:sz w:val="24"/>
          <w:szCs w:val="24"/>
        </w:rPr>
      </w:pPr>
    </w:p>
    <w:p w14:paraId="1DDBCCD1" w14:textId="5618EDB9" w:rsidR="000C6148" w:rsidRPr="0024753F" w:rsidRDefault="0024753F" w:rsidP="0024753F">
      <w:pPr>
        <w:pStyle w:val="a3"/>
        <w:tabs>
          <w:tab w:val="left" w:pos="0"/>
        </w:tabs>
        <w:spacing w:after="0"/>
        <w:ind w:left="0" w:firstLine="709"/>
        <w:contextualSpacing w:val="0"/>
        <w:jc w:val="both"/>
        <w:rPr>
          <w:rFonts w:ascii="Times New Roman" w:eastAsia="Calibri" w:hAnsi="Times New Roman" w:cs="Times New Roman"/>
          <w:bCs/>
          <w:sz w:val="24"/>
          <w:szCs w:val="24"/>
        </w:rPr>
      </w:pPr>
      <w:r w:rsidRPr="0024753F">
        <w:rPr>
          <w:rFonts w:ascii="Times New Roman" w:hAnsi="Times New Roman" w:cs="Times New Roman"/>
          <w:i/>
          <w:sz w:val="24"/>
          <w:szCs w:val="24"/>
        </w:rPr>
        <w:t>Примітка: Навчання/комунікація з персоналом відбувається протягом усіх етапів надання послуг.</w:t>
      </w:r>
    </w:p>
    <w:p w14:paraId="070836A7" w14:textId="77777777" w:rsidR="00CB5226" w:rsidRDefault="00CB5226" w:rsidP="00CB5226">
      <w:pPr>
        <w:spacing w:after="0" w:line="240" w:lineRule="auto"/>
        <w:ind w:right="282"/>
        <w:jc w:val="both"/>
        <w:rPr>
          <w:rFonts w:ascii="Times New Roman" w:eastAsia="Times New Roman" w:hAnsi="Times New Roman" w:cs="Times New Roman"/>
          <w:bCs/>
          <w:color w:val="000000"/>
          <w:sz w:val="24"/>
          <w:szCs w:val="24"/>
          <w:lang w:eastAsia="uk-UA"/>
        </w:rPr>
      </w:pPr>
    </w:p>
    <w:p w14:paraId="61255419" w14:textId="77777777" w:rsidR="00CB5226" w:rsidRDefault="00CB5226" w:rsidP="00CB5226">
      <w:pPr>
        <w:spacing w:after="0" w:line="240" w:lineRule="auto"/>
        <w:ind w:right="282"/>
        <w:jc w:val="both"/>
        <w:rPr>
          <w:rFonts w:ascii="Times New Roman" w:eastAsia="Times New Roman" w:hAnsi="Times New Roman" w:cs="Times New Roman"/>
          <w:bCs/>
          <w:color w:val="000000"/>
          <w:sz w:val="24"/>
          <w:szCs w:val="24"/>
          <w:lang w:eastAsia="uk-UA"/>
        </w:rPr>
      </w:pPr>
    </w:p>
    <w:p w14:paraId="70181C18" w14:textId="55EF860A" w:rsidR="00CB5226" w:rsidRDefault="00CB5226" w:rsidP="00CB5226">
      <w:pPr>
        <w:spacing w:after="0" w:line="240" w:lineRule="auto"/>
        <w:ind w:right="282"/>
        <w:rPr>
          <w:rFonts w:ascii="Times New Roman" w:eastAsia="Times New Roman" w:hAnsi="Times New Roman" w:cs="Times New Roman"/>
          <w:bCs/>
          <w:color w:val="000000"/>
          <w:sz w:val="24"/>
          <w:szCs w:val="24"/>
          <w:lang w:eastAsia="uk-UA"/>
        </w:rPr>
      </w:pPr>
      <w:r w:rsidRPr="00895FC0">
        <w:rPr>
          <w:rFonts w:ascii="Times New Roman" w:eastAsia="Times New Roman" w:hAnsi="Times New Roman" w:cs="Times New Roman"/>
          <w:bCs/>
          <w:color w:val="000000"/>
          <w:sz w:val="24"/>
          <w:szCs w:val="24"/>
          <w:lang w:eastAsia="uk-UA"/>
        </w:rPr>
        <w:t xml:space="preserve">Уповноважена особа </w:t>
      </w:r>
      <w:r>
        <w:rPr>
          <w:rFonts w:ascii="Times New Roman" w:eastAsia="Times New Roman" w:hAnsi="Times New Roman" w:cs="Times New Roman"/>
          <w:bCs/>
          <w:color w:val="000000"/>
          <w:sz w:val="24"/>
          <w:szCs w:val="24"/>
          <w:lang w:eastAsia="uk-UA"/>
        </w:rPr>
        <w:t xml:space="preserve">              </w:t>
      </w:r>
      <w:r w:rsidRPr="00895FC0">
        <w:rPr>
          <w:rFonts w:ascii="Times New Roman" w:eastAsia="Times New Roman" w:hAnsi="Times New Roman" w:cs="Times New Roman"/>
          <w:bCs/>
          <w:color w:val="000000"/>
          <w:sz w:val="24"/>
          <w:szCs w:val="24"/>
          <w:lang w:eastAsia="uk-UA"/>
        </w:rPr>
        <w:t xml:space="preserve">__________________   </w:t>
      </w:r>
      <w:r w:rsidR="00AD4ACE">
        <w:rPr>
          <w:rFonts w:ascii="Times New Roman" w:eastAsia="Times New Roman" w:hAnsi="Times New Roman" w:cs="Times New Roman"/>
          <w:bCs/>
          <w:color w:val="000000"/>
          <w:sz w:val="24"/>
          <w:szCs w:val="24"/>
          <w:lang w:eastAsia="uk-UA"/>
        </w:rPr>
        <w:t xml:space="preserve">       Ірина СВІРЩ</w:t>
      </w:r>
    </w:p>
    <w:p w14:paraId="49895633" w14:textId="77777777" w:rsidR="00CB5226" w:rsidRPr="009D1A2B" w:rsidRDefault="00CB5226" w:rsidP="0042647F">
      <w:pPr>
        <w:jc w:val="both"/>
        <w:rPr>
          <w:rFonts w:ascii="Times New Roman" w:hAnsi="Times New Roman" w:cs="Times New Roman"/>
          <w:b/>
          <w:sz w:val="24"/>
          <w:szCs w:val="24"/>
        </w:rPr>
      </w:pPr>
    </w:p>
    <w:sectPr w:rsidR="00CB5226" w:rsidRPr="009D1A2B" w:rsidSect="0099461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936B56"/>
    <w:multiLevelType w:val="multilevel"/>
    <w:tmpl w:val="3532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516F38"/>
    <w:multiLevelType w:val="hybridMultilevel"/>
    <w:tmpl w:val="17F44FD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63A649E"/>
    <w:multiLevelType w:val="multilevel"/>
    <w:tmpl w:val="95F6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50E8F"/>
    <w:multiLevelType w:val="multilevel"/>
    <w:tmpl w:val="7920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C2C66"/>
    <w:multiLevelType w:val="multilevel"/>
    <w:tmpl w:val="FFF8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A25C3"/>
    <w:multiLevelType w:val="multilevel"/>
    <w:tmpl w:val="B440A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776B9"/>
    <w:multiLevelType w:val="multilevel"/>
    <w:tmpl w:val="B8AA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5" w15:restartNumberingAfterBreak="0">
    <w:nsid w:val="26F23D70"/>
    <w:multiLevelType w:val="multilevel"/>
    <w:tmpl w:val="63A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ECF7265"/>
    <w:multiLevelType w:val="hybridMultilevel"/>
    <w:tmpl w:val="C7C8CEF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6355C88"/>
    <w:multiLevelType w:val="multilevel"/>
    <w:tmpl w:val="8E885D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0" w15:restartNumberingAfterBreak="0">
    <w:nsid w:val="3BD215B3"/>
    <w:multiLevelType w:val="hybridMultilevel"/>
    <w:tmpl w:val="503C96A2"/>
    <w:lvl w:ilvl="0" w:tplc="6C741F1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3C10C5"/>
    <w:multiLevelType w:val="hybridMultilevel"/>
    <w:tmpl w:val="D41822FE"/>
    <w:lvl w:ilvl="0" w:tplc="D6D2D3E2">
      <w:start w:val="1"/>
      <w:numFmt w:val="decimal"/>
      <w:lvlText w:val="%1)"/>
      <w:lvlJc w:val="left"/>
      <w:pPr>
        <w:ind w:left="927" w:hanging="360"/>
      </w:pPr>
      <w:rPr>
        <w:rFonts w:hint="default"/>
        <w:b/>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0467911"/>
    <w:multiLevelType w:val="hybridMultilevel"/>
    <w:tmpl w:val="6B02A170"/>
    <w:lvl w:ilvl="0" w:tplc="CAEC569E">
      <w:start w:val="1"/>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24"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C3731AF"/>
    <w:multiLevelType w:val="multilevel"/>
    <w:tmpl w:val="7508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E0C4706"/>
    <w:multiLevelType w:val="hybridMultilevel"/>
    <w:tmpl w:val="D772D632"/>
    <w:lvl w:ilvl="0" w:tplc="6C741F12">
      <w:numFmt w:val="bullet"/>
      <w:lvlText w:val="-"/>
      <w:lvlJc w:val="left"/>
      <w:pPr>
        <w:ind w:left="218" w:hanging="360"/>
      </w:pPr>
      <w:rPr>
        <w:rFonts w:ascii="Times New Roman" w:eastAsia="Times New Roman" w:hAnsi="Times New Roman" w:cs="Times New Roman" w:hint="default"/>
        <w:color w:val="auto"/>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30" w15:restartNumberingAfterBreak="0">
    <w:nsid w:val="61A4168B"/>
    <w:multiLevelType w:val="multilevel"/>
    <w:tmpl w:val="31B09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6944FA"/>
    <w:multiLevelType w:val="multilevel"/>
    <w:tmpl w:val="EB5C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505B96"/>
    <w:multiLevelType w:val="multilevel"/>
    <w:tmpl w:val="9748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8E7F27"/>
    <w:multiLevelType w:val="multilevel"/>
    <w:tmpl w:val="8D48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6D7F31"/>
    <w:multiLevelType w:val="multilevel"/>
    <w:tmpl w:val="BFF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A07C08"/>
    <w:multiLevelType w:val="multilevel"/>
    <w:tmpl w:val="06E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B808E6"/>
    <w:multiLevelType w:val="multilevel"/>
    <w:tmpl w:val="13A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CE40EA"/>
    <w:multiLevelType w:val="multilevel"/>
    <w:tmpl w:val="399A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352B43"/>
    <w:multiLevelType w:val="multilevel"/>
    <w:tmpl w:val="BD760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F13A0"/>
    <w:multiLevelType w:val="hybridMultilevel"/>
    <w:tmpl w:val="2C7C0C8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6"/>
  </w:num>
  <w:num w:numId="5">
    <w:abstractNumId w:val="38"/>
  </w:num>
  <w:num w:numId="6">
    <w:abstractNumId w:val="16"/>
  </w:num>
  <w:num w:numId="7">
    <w:abstractNumId w:val="2"/>
  </w:num>
  <w:num w:numId="8">
    <w:abstractNumId w:val="11"/>
  </w:num>
  <w:num w:numId="9">
    <w:abstractNumId w:val="25"/>
  </w:num>
  <w:num w:numId="10">
    <w:abstractNumId w:val="0"/>
  </w:num>
  <w:num w:numId="11">
    <w:abstractNumId w:val="24"/>
  </w:num>
  <w:num w:numId="12">
    <w:abstractNumId w:val="21"/>
  </w:num>
  <w:num w:numId="13">
    <w:abstractNumId w:val="17"/>
  </w:num>
  <w:num w:numId="14">
    <w:abstractNumId w:val="9"/>
  </w:num>
  <w:num w:numId="15">
    <w:abstractNumId w:val="28"/>
  </w:num>
  <w:num w:numId="16">
    <w:abstractNumId w:val="8"/>
  </w:num>
  <w:num w:numId="17">
    <w:abstractNumId w:val="40"/>
  </w:num>
  <w:num w:numId="18">
    <w:abstractNumId w:val="36"/>
  </w:num>
  <w:num w:numId="19">
    <w:abstractNumId w:val="29"/>
  </w:num>
  <w:num w:numId="20">
    <w:abstractNumId w:val="22"/>
  </w:num>
  <w:num w:numId="21">
    <w:abstractNumId w:val="23"/>
  </w:num>
  <w:num w:numId="22">
    <w:abstractNumId w:val="34"/>
  </w:num>
  <w:num w:numId="23">
    <w:abstractNumId w:val="19"/>
  </w:num>
  <w:num w:numId="24">
    <w:abstractNumId w:val="20"/>
  </w:num>
  <w:num w:numId="25">
    <w:abstractNumId w:val="10"/>
  </w:num>
  <w:num w:numId="26">
    <w:abstractNumId w:val="18"/>
  </w:num>
  <w:num w:numId="27">
    <w:abstractNumId w:val="37"/>
  </w:num>
  <w:num w:numId="28">
    <w:abstractNumId w:val="31"/>
  </w:num>
  <w:num w:numId="29">
    <w:abstractNumId w:val="7"/>
  </w:num>
  <w:num w:numId="30">
    <w:abstractNumId w:val="27"/>
  </w:num>
  <w:num w:numId="31">
    <w:abstractNumId w:val="39"/>
  </w:num>
  <w:num w:numId="32">
    <w:abstractNumId w:val="33"/>
  </w:num>
  <w:num w:numId="33">
    <w:abstractNumId w:val="35"/>
  </w:num>
  <w:num w:numId="34">
    <w:abstractNumId w:val="15"/>
  </w:num>
  <w:num w:numId="35">
    <w:abstractNumId w:val="4"/>
  </w:num>
  <w:num w:numId="36">
    <w:abstractNumId w:val="5"/>
  </w:num>
  <w:num w:numId="37">
    <w:abstractNumId w:val="6"/>
  </w:num>
  <w:num w:numId="38">
    <w:abstractNumId w:val="1"/>
  </w:num>
  <w:num w:numId="39">
    <w:abstractNumId w:val="32"/>
  </w:num>
  <w:num w:numId="40">
    <w:abstractNumId w:val="30"/>
  </w:num>
  <w:num w:numId="41">
    <w:abstractNumId w:val="4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47D6A"/>
    <w:rsid w:val="000500CA"/>
    <w:rsid w:val="0005521A"/>
    <w:rsid w:val="00085CDF"/>
    <w:rsid w:val="00092FD8"/>
    <w:rsid w:val="00097526"/>
    <w:rsid w:val="000B7821"/>
    <w:rsid w:val="000C6148"/>
    <w:rsid w:val="000D7DD2"/>
    <w:rsid w:val="0010363C"/>
    <w:rsid w:val="00106163"/>
    <w:rsid w:val="00130605"/>
    <w:rsid w:val="00164CFF"/>
    <w:rsid w:val="00164E48"/>
    <w:rsid w:val="001711D0"/>
    <w:rsid w:val="00187263"/>
    <w:rsid w:val="001A6208"/>
    <w:rsid w:val="001C2CB3"/>
    <w:rsid w:val="001D652B"/>
    <w:rsid w:val="0020360D"/>
    <w:rsid w:val="0020456B"/>
    <w:rsid w:val="00204B1A"/>
    <w:rsid w:val="002058AB"/>
    <w:rsid w:val="00210FF8"/>
    <w:rsid w:val="00212DD6"/>
    <w:rsid w:val="00227DD4"/>
    <w:rsid w:val="00232434"/>
    <w:rsid w:val="00236DAF"/>
    <w:rsid w:val="0023717B"/>
    <w:rsid w:val="002411E0"/>
    <w:rsid w:val="0024753F"/>
    <w:rsid w:val="00254053"/>
    <w:rsid w:val="002A2F56"/>
    <w:rsid w:val="002C7C16"/>
    <w:rsid w:val="002E10D2"/>
    <w:rsid w:val="002F6C3A"/>
    <w:rsid w:val="0030505B"/>
    <w:rsid w:val="003052D5"/>
    <w:rsid w:val="00306361"/>
    <w:rsid w:val="00323967"/>
    <w:rsid w:val="0035609C"/>
    <w:rsid w:val="00371E18"/>
    <w:rsid w:val="0038130E"/>
    <w:rsid w:val="003817CA"/>
    <w:rsid w:val="003941BD"/>
    <w:rsid w:val="003952DD"/>
    <w:rsid w:val="003978D6"/>
    <w:rsid w:val="003B0B82"/>
    <w:rsid w:val="003B10F1"/>
    <w:rsid w:val="003C6185"/>
    <w:rsid w:val="003C6EAE"/>
    <w:rsid w:val="003E333C"/>
    <w:rsid w:val="00406692"/>
    <w:rsid w:val="00422025"/>
    <w:rsid w:val="00424C7D"/>
    <w:rsid w:val="0042647F"/>
    <w:rsid w:val="00446FD1"/>
    <w:rsid w:val="0045785D"/>
    <w:rsid w:val="00462830"/>
    <w:rsid w:val="00477192"/>
    <w:rsid w:val="004858D4"/>
    <w:rsid w:val="004B6056"/>
    <w:rsid w:val="004F737C"/>
    <w:rsid w:val="00526F2B"/>
    <w:rsid w:val="005304CA"/>
    <w:rsid w:val="00547B9A"/>
    <w:rsid w:val="0056773D"/>
    <w:rsid w:val="005A3C24"/>
    <w:rsid w:val="005B0C21"/>
    <w:rsid w:val="005E6290"/>
    <w:rsid w:val="005F01A1"/>
    <w:rsid w:val="00630744"/>
    <w:rsid w:val="00632F48"/>
    <w:rsid w:val="006330AB"/>
    <w:rsid w:val="006332E2"/>
    <w:rsid w:val="00651A94"/>
    <w:rsid w:val="006615B4"/>
    <w:rsid w:val="00662376"/>
    <w:rsid w:val="006722E1"/>
    <w:rsid w:val="006A0A4A"/>
    <w:rsid w:val="006D70A6"/>
    <w:rsid w:val="006D713C"/>
    <w:rsid w:val="006F2C97"/>
    <w:rsid w:val="006F4E25"/>
    <w:rsid w:val="00700972"/>
    <w:rsid w:val="00722CBA"/>
    <w:rsid w:val="00732B4C"/>
    <w:rsid w:val="007500E2"/>
    <w:rsid w:val="00750DF0"/>
    <w:rsid w:val="007835CD"/>
    <w:rsid w:val="00784F3A"/>
    <w:rsid w:val="00795EC7"/>
    <w:rsid w:val="007A153E"/>
    <w:rsid w:val="007A3490"/>
    <w:rsid w:val="007B5477"/>
    <w:rsid w:val="007C1BA2"/>
    <w:rsid w:val="007C4848"/>
    <w:rsid w:val="007D57D6"/>
    <w:rsid w:val="007D66BD"/>
    <w:rsid w:val="007D6D44"/>
    <w:rsid w:val="007E43C0"/>
    <w:rsid w:val="007E6960"/>
    <w:rsid w:val="007F4BB3"/>
    <w:rsid w:val="00805DD4"/>
    <w:rsid w:val="008168E2"/>
    <w:rsid w:val="008351D4"/>
    <w:rsid w:val="00842FC7"/>
    <w:rsid w:val="00864C9E"/>
    <w:rsid w:val="00872B0F"/>
    <w:rsid w:val="00885B77"/>
    <w:rsid w:val="008A0CC6"/>
    <w:rsid w:val="008A5BDE"/>
    <w:rsid w:val="008B33E7"/>
    <w:rsid w:val="008F420E"/>
    <w:rsid w:val="008F72D5"/>
    <w:rsid w:val="009069FD"/>
    <w:rsid w:val="00923D5F"/>
    <w:rsid w:val="00925FA9"/>
    <w:rsid w:val="009474C4"/>
    <w:rsid w:val="00962DD7"/>
    <w:rsid w:val="009709DD"/>
    <w:rsid w:val="00994615"/>
    <w:rsid w:val="009973F8"/>
    <w:rsid w:val="009A4FC4"/>
    <w:rsid w:val="009A7B49"/>
    <w:rsid w:val="009B4A01"/>
    <w:rsid w:val="009B5DD3"/>
    <w:rsid w:val="009C4460"/>
    <w:rsid w:val="009C7CFF"/>
    <w:rsid w:val="009D1A2B"/>
    <w:rsid w:val="009E1074"/>
    <w:rsid w:val="009F1BBB"/>
    <w:rsid w:val="00A0244C"/>
    <w:rsid w:val="00A02E15"/>
    <w:rsid w:val="00A0656C"/>
    <w:rsid w:val="00A137F7"/>
    <w:rsid w:val="00A35C65"/>
    <w:rsid w:val="00A45610"/>
    <w:rsid w:val="00A466DE"/>
    <w:rsid w:val="00A602E2"/>
    <w:rsid w:val="00A6175B"/>
    <w:rsid w:val="00A7334E"/>
    <w:rsid w:val="00A74B7D"/>
    <w:rsid w:val="00A917AD"/>
    <w:rsid w:val="00AA7D96"/>
    <w:rsid w:val="00AB12F8"/>
    <w:rsid w:val="00AD1290"/>
    <w:rsid w:val="00AD4ACE"/>
    <w:rsid w:val="00AE1345"/>
    <w:rsid w:val="00B11CB2"/>
    <w:rsid w:val="00B376EC"/>
    <w:rsid w:val="00B522E5"/>
    <w:rsid w:val="00B7627B"/>
    <w:rsid w:val="00B81BF1"/>
    <w:rsid w:val="00B83B51"/>
    <w:rsid w:val="00BD7605"/>
    <w:rsid w:val="00BF7884"/>
    <w:rsid w:val="00C01D95"/>
    <w:rsid w:val="00C027F9"/>
    <w:rsid w:val="00C12E9D"/>
    <w:rsid w:val="00C3352C"/>
    <w:rsid w:val="00C44D4F"/>
    <w:rsid w:val="00C479FB"/>
    <w:rsid w:val="00C6166E"/>
    <w:rsid w:val="00C67FB9"/>
    <w:rsid w:val="00C871F7"/>
    <w:rsid w:val="00C92545"/>
    <w:rsid w:val="00CB5226"/>
    <w:rsid w:val="00CE1FD4"/>
    <w:rsid w:val="00D1193A"/>
    <w:rsid w:val="00D41EA3"/>
    <w:rsid w:val="00D4245B"/>
    <w:rsid w:val="00D53F80"/>
    <w:rsid w:val="00D55AF1"/>
    <w:rsid w:val="00D6189B"/>
    <w:rsid w:val="00D77F8F"/>
    <w:rsid w:val="00D81F34"/>
    <w:rsid w:val="00D8468E"/>
    <w:rsid w:val="00D919A0"/>
    <w:rsid w:val="00D94102"/>
    <w:rsid w:val="00D96496"/>
    <w:rsid w:val="00DD1041"/>
    <w:rsid w:val="00DE1716"/>
    <w:rsid w:val="00DE43D1"/>
    <w:rsid w:val="00DF025E"/>
    <w:rsid w:val="00DF6434"/>
    <w:rsid w:val="00E036B8"/>
    <w:rsid w:val="00E03A37"/>
    <w:rsid w:val="00E1746F"/>
    <w:rsid w:val="00E357E6"/>
    <w:rsid w:val="00E42BB7"/>
    <w:rsid w:val="00E55C9D"/>
    <w:rsid w:val="00E60ABA"/>
    <w:rsid w:val="00E87E78"/>
    <w:rsid w:val="00EB3C12"/>
    <w:rsid w:val="00ED6E19"/>
    <w:rsid w:val="00F02043"/>
    <w:rsid w:val="00F03574"/>
    <w:rsid w:val="00F44D37"/>
    <w:rsid w:val="00F531A4"/>
    <w:rsid w:val="00F733A8"/>
    <w:rsid w:val="00F81A68"/>
    <w:rsid w:val="00F81A9D"/>
    <w:rsid w:val="00FB46CB"/>
    <w:rsid w:val="00FB567F"/>
    <w:rsid w:val="00FC4DE3"/>
    <w:rsid w:val="00FC77BF"/>
    <w:rsid w:val="00FD64B0"/>
    <w:rsid w:val="00FD6F07"/>
    <w:rsid w:val="00FD7B79"/>
    <w:rsid w:val="00FE17A8"/>
    <w:rsid w:val="00FF1375"/>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1">
    <w:name w:val="heading 1"/>
    <w:basedOn w:val="a"/>
    <w:next w:val="a"/>
    <w:link w:val="10"/>
    <w:uiPriority w:val="9"/>
    <w:qFormat/>
    <w:rsid w:val="009B4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En tête 1,Mummuga loetelu,Loendi lõik,Report Para,WinDForce-Letter"/>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10">
    <w:name w:val="Заголовок 1 Знак"/>
    <w:basedOn w:val="a0"/>
    <w:link w:val="1"/>
    <w:uiPriority w:val="9"/>
    <w:rsid w:val="009B4A01"/>
    <w:rPr>
      <w:rFonts w:asciiTheme="majorHAnsi" w:eastAsiaTheme="majorEastAsia" w:hAnsiTheme="majorHAnsi" w:cstheme="majorBidi"/>
      <w:color w:val="2E74B5" w:themeColor="accent1" w:themeShade="BF"/>
      <w:sz w:val="32"/>
      <w:szCs w:val="32"/>
    </w:rPr>
  </w:style>
  <w:style w:type="character" w:styleId="ad">
    <w:name w:val="Book Title"/>
    <w:uiPriority w:val="33"/>
    <w:qFormat/>
    <w:rsid w:val="00092FD8"/>
    <w:rPr>
      <w:b/>
      <w:bCs/>
      <w:i/>
      <w:iCs/>
      <w:spacing w:val="5"/>
    </w:rPr>
  </w:style>
  <w:style w:type="table" w:styleId="ae">
    <w:name w:val="Table Grid"/>
    <w:basedOn w:val="a1"/>
    <w:uiPriority w:val="59"/>
    <w:rsid w:val="0024753F"/>
    <w:pPr>
      <w:spacing w:after="0" w:line="240" w:lineRule="auto"/>
      <w:jc w:val="both"/>
    </w:pPr>
    <w:rPr>
      <w:rFonts w:ascii="Times New Roman" w:eastAsia="Times New Roman" w:hAnsi="Times New Roman" w:cs="Times New Roman"/>
      <w:sz w:val="24"/>
      <w:szCs w:val="28"/>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a0"/>
    <w:rsid w:val="0024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976108248">
      <w:bodyDiv w:val="1"/>
      <w:marLeft w:val="0"/>
      <w:marRight w:val="0"/>
      <w:marTop w:val="0"/>
      <w:marBottom w:val="0"/>
      <w:divBdr>
        <w:top w:val="none" w:sz="0" w:space="0" w:color="auto"/>
        <w:left w:val="none" w:sz="0" w:space="0" w:color="auto"/>
        <w:bottom w:val="none" w:sz="0" w:space="0" w:color="auto"/>
        <w:right w:val="none" w:sz="0" w:space="0" w:color="auto"/>
      </w:divBdr>
    </w:div>
    <w:div w:id="1330668352">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AEC26-BD3C-4A8F-BDFC-C39E336E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10626</Words>
  <Characters>6057</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Свірщ Ірина Романівна</cp:lastModifiedBy>
  <cp:revision>2</cp:revision>
  <cp:lastPrinted>2026-05-07T05:44:00Z</cp:lastPrinted>
  <dcterms:created xsi:type="dcterms:W3CDTF">2026-05-07T06:32:00Z</dcterms:created>
  <dcterms:modified xsi:type="dcterms:W3CDTF">2026-05-07T06:32:00Z</dcterms:modified>
</cp:coreProperties>
</file>