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CF9" w:rsidRDefault="00FE1182">
      <w:pPr>
        <w:tabs>
          <w:tab w:val="left" w:pos="4100"/>
          <w:tab w:val="left" w:pos="4240"/>
          <w:tab w:val="left" w:pos="5940"/>
          <w:tab w:val="left" w:pos="6520"/>
        </w:tabs>
        <w:suppressAutoHyphens/>
        <w:spacing w:after="0" w:line="240" w:lineRule="auto"/>
        <w:ind w:left="5940"/>
        <w:rPr>
          <w:rFonts w:ascii="Times New Roman" w:hAnsi="Times New Roman" w:cs="Times New Roman"/>
          <w:color w:val="000000"/>
          <w:sz w:val="24"/>
          <w:szCs w:val="24"/>
          <w:lang w:val="uk" w:eastAsia="ar"/>
        </w:rPr>
      </w:pPr>
      <w:r>
        <w:rPr>
          <w:rFonts w:ascii="Times New Roman" w:eastAsia="Calibri" w:hAnsi="Times New Roman" w:cs="Times New Roman"/>
          <w:color w:val="000000"/>
          <w:sz w:val="24"/>
          <w:szCs w:val="24"/>
          <w:lang w:val="uk" w:eastAsia="ar" w:bidi="ar"/>
        </w:rPr>
        <w:t>Додаток</w:t>
      </w:r>
    </w:p>
    <w:p w:rsidR="00A82CF9" w:rsidRDefault="00FE1182">
      <w:pPr>
        <w:tabs>
          <w:tab w:val="left" w:pos="5674"/>
          <w:tab w:val="left" w:pos="5940"/>
          <w:tab w:val="left" w:pos="6241"/>
        </w:tabs>
        <w:suppressAutoHyphens/>
        <w:spacing w:after="0" w:line="240" w:lineRule="auto"/>
        <w:ind w:left="5940"/>
        <w:rPr>
          <w:rFonts w:ascii="Times New Roman" w:hAnsi="Times New Roman" w:cs="Times New Roman"/>
          <w:color w:val="000000"/>
          <w:sz w:val="24"/>
          <w:szCs w:val="24"/>
          <w:lang w:val="uk" w:eastAsia="ar"/>
        </w:rPr>
      </w:pPr>
      <w:r>
        <w:rPr>
          <w:rFonts w:ascii="Times New Roman" w:eastAsia="Calibri" w:hAnsi="Times New Roman" w:cs="Times New Roman"/>
          <w:color w:val="000000"/>
          <w:sz w:val="24"/>
          <w:szCs w:val="24"/>
          <w:lang w:val="uk" w:eastAsia="zh-CN" w:bidi="ar"/>
        </w:rPr>
        <w:t xml:space="preserve">до рішення </w:t>
      </w:r>
      <w:r>
        <w:rPr>
          <w:rFonts w:ascii="Times New Roman" w:eastAsia="Calibri" w:hAnsi="Times New Roman" w:cs="Times New Roman"/>
          <w:color w:val="000000"/>
          <w:sz w:val="24"/>
          <w:szCs w:val="24"/>
          <w:lang w:eastAsia="zh-CN" w:bidi="ar"/>
        </w:rPr>
        <w:t xml:space="preserve">виконавчого комітету </w:t>
      </w:r>
      <w:r>
        <w:rPr>
          <w:rFonts w:ascii="Times New Roman" w:eastAsia="Calibri" w:hAnsi="Times New Roman" w:cs="Times New Roman"/>
          <w:color w:val="000000"/>
          <w:sz w:val="24"/>
          <w:szCs w:val="24"/>
          <w:lang w:val="uk" w:eastAsia="zh-CN" w:bidi="ar"/>
        </w:rPr>
        <w:t xml:space="preserve"> міської ради </w:t>
      </w:r>
    </w:p>
    <w:p w:rsidR="00A82CF9" w:rsidRDefault="00FE1182">
      <w:pPr>
        <w:tabs>
          <w:tab w:val="left" w:pos="4500"/>
          <w:tab w:val="left" w:pos="5800"/>
          <w:tab w:val="left" w:pos="5940"/>
          <w:tab w:val="left" w:pos="6241"/>
        </w:tabs>
        <w:spacing w:after="0" w:line="256" w:lineRule="auto"/>
        <w:ind w:left="5940"/>
        <w:rPr>
          <w:rFonts w:ascii="Times New Roman" w:hAnsi="Times New Roman" w:cs="Times New Roman"/>
          <w:color w:val="000000"/>
          <w:sz w:val="24"/>
          <w:szCs w:val="24"/>
          <w:lang w:val="uk"/>
        </w:rPr>
      </w:pPr>
      <w:r>
        <w:rPr>
          <w:rFonts w:ascii="Times New Roman" w:eastAsia="Calibri" w:hAnsi="Times New Roman" w:cs="Times New Roman"/>
          <w:color w:val="000000"/>
          <w:sz w:val="24"/>
          <w:szCs w:val="24"/>
          <w:lang w:val="uk" w:eastAsia="zh-CN" w:bidi="ar"/>
        </w:rPr>
        <w:t xml:space="preserve">від </w:t>
      </w:r>
      <w:r w:rsidR="00DB4D2E">
        <w:rPr>
          <w:rFonts w:ascii="Times New Roman" w:eastAsia="Calibri" w:hAnsi="Times New Roman" w:cs="Times New Roman"/>
          <w:color w:val="000000"/>
          <w:sz w:val="24"/>
          <w:szCs w:val="24"/>
          <w:lang w:val="uk" w:eastAsia="zh-CN" w:bidi="ar"/>
        </w:rPr>
        <w:t>12.03.</w:t>
      </w:r>
      <w:r>
        <w:rPr>
          <w:rFonts w:ascii="Times New Roman" w:eastAsia="Calibri" w:hAnsi="Times New Roman" w:cs="Times New Roman"/>
          <w:color w:val="000000"/>
          <w:sz w:val="24"/>
          <w:szCs w:val="24"/>
          <w:lang w:val="uk" w:eastAsia="zh-CN" w:bidi="ar"/>
        </w:rPr>
        <w:t>202</w:t>
      </w:r>
      <w:r>
        <w:rPr>
          <w:rFonts w:ascii="Times New Roman" w:eastAsia="Calibri" w:hAnsi="Times New Roman" w:cs="Times New Roman"/>
          <w:color w:val="000000"/>
          <w:sz w:val="24"/>
          <w:szCs w:val="24"/>
          <w:lang w:eastAsia="zh-CN" w:bidi="ar"/>
        </w:rPr>
        <w:t>6</w:t>
      </w:r>
      <w:r>
        <w:rPr>
          <w:rFonts w:ascii="Times New Roman" w:eastAsia="Calibri" w:hAnsi="Times New Roman" w:cs="Times New Roman"/>
          <w:color w:val="000000"/>
          <w:sz w:val="24"/>
          <w:szCs w:val="24"/>
          <w:lang w:val="uk" w:eastAsia="zh-CN" w:bidi="ar"/>
        </w:rPr>
        <w:t xml:space="preserve"> року №</w:t>
      </w:r>
      <w:r w:rsidR="00DB4D2E">
        <w:rPr>
          <w:rFonts w:ascii="Times New Roman" w:eastAsia="Calibri" w:hAnsi="Times New Roman" w:cs="Times New Roman"/>
          <w:color w:val="000000"/>
          <w:sz w:val="24"/>
          <w:szCs w:val="24"/>
          <w:lang w:eastAsia="zh-CN" w:bidi="ar"/>
        </w:rPr>
        <w:t xml:space="preserve"> 430</w:t>
      </w:r>
      <w:bookmarkStart w:id="0" w:name="_GoBack"/>
      <w:bookmarkEnd w:id="0"/>
    </w:p>
    <w:p w:rsidR="00A82CF9" w:rsidRDefault="00A82CF9">
      <w:pPr>
        <w:pStyle w:val="msonospacing0"/>
        <w:ind w:firstLine="567"/>
        <w:jc w:val="both"/>
        <w:rPr>
          <w:rFonts w:ascii="Times New Roman" w:hAnsi="Times New Roman"/>
          <w:sz w:val="24"/>
          <w:szCs w:val="24"/>
          <w:lang w:val="uk"/>
        </w:rPr>
      </w:pPr>
    </w:p>
    <w:p w:rsidR="00A82CF9" w:rsidRDefault="00A82CF9">
      <w:pPr>
        <w:pStyle w:val="a9"/>
        <w:jc w:val="right"/>
        <w:rPr>
          <w:rFonts w:ascii="Times New Roman" w:hAnsi="Times New Roman"/>
          <w:b/>
          <w:sz w:val="24"/>
          <w:szCs w:val="24"/>
        </w:rPr>
      </w:pPr>
    </w:p>
    <w:p w:rsidR="00A82CF9" w:rsidRDefault="00FE1182">
      <w:pPr>
        <w:pStyle w:val="a9"/>
        <w:jc w:val="center"/>
        <w:rPr>
          <w:rFonts w:ascii="Times New Roman" w:hAnsi="Times New Roman"/>
          <w:b/>
          <w:sz w:val="24"/>
          <w:szCs w:val="24"/>
        </w:rPr>
      </w:pPr>
      <w:r>
        <w:rPr>
          <w:rFonts w:ascii="Times New Roman" w:hAnsi="Times New Roman"/>
          <w:b/>
          <w:sz w:val="24"/>
          <w:szCs w:val="24"/>
        </w:rPr>
        <w:t>Програма охорони довкілля</w:t>
      </w:r>
    </w:p>
    <w:p w:rsidR="00A82CF9" w:rsidRDefault="00FE1182">
      <w:pPr>
        <w:pStyle w:val="a9"/>
        <w:jc w:val="center"/>
        <w:rPr>
          <w:rFonts w:ascii="Times New Roman" w:hAnsi="Times New Roman"/>
          <w:b/>
          <w:sz w:val="24"/>
          <w:szCs w:val="24"/>
        </w:rPr>
      </w:pPr>
      <w:r>
        <w:rPr>
          <w:rFonts w:ascii="Times New Roman" w:hAnsi="Times New Roman"/>
          <w:b/>
          <w:sz w:val="24"/>
          <w:szCs w:val="24"/>
        </w:rPr>
        <w:t>Хмельницької міської територіальної громади</w:t>
      </w:r>
    </w:p>
    <w:p w:rsidR="00A82CF9" w:rsidRDefault="00FE1182">
      <w:pPr>
        <w:pStyle w:val="a9"/>
        <w:jc w:val="center"/>
        <w:rPr>
          <w:rFonts w:ascii="Times New Roman" w:hAnsi="Times New Roman"/>
          <w:b/>
          <w:sz w:val="24"/>
          <w:szCs w:val="24"/>
        </w:rPr>
      </w:pPr>
      <w:r>
        <w:rPr>
          <w:rFonts w:ascii="Times New Roman" w:hAnsi="Times New Roman"/>
          <w:b/>
          <w:sz w:val="24"/>
          <w:szCs w:val="24"/>
        </w:rPr>
        <w:t>на 2026-2030 роки</w:t>
      </w:r>
    </w:p>
    <w:p w:rsidR="00A82CF9" w:rsidRDefault="00A82CF9">
      <w:pPr>
        <w:pStyle w:val="a9"/>
        <w:jc w:val="center"/>
        <w:rPr>
          <w:rFonts w:ascii="Times New Roman" w:hAnsi="Times New Roman"/>
          <w:b/>
          <w:sz w:val="24"/>
          <w:szCs w:val="24"/>
        </w:rPr>
      </w:pPr>
    </w:p>
    <w:p w:rsidR="00A82CF9" w:rsidRDefault="00FE1182">
      <w:pPr>
        <w:pStyle w:val="rvps2"/>
        <w:spacing w:after="150"/>
        <w:jc w:val="center"/>
        <w:rPr>
          <w:rStyle w:val="spanrvts0"/>
          <w:b/>
          <w:lang w:val="uk" w:eastAsia="uk"/>
        </w:rPr>
      </w:pPr>
      <w:r>
        <w:rPr>
          <w:rStyle w:val="spanrvts0"/>
          <w:b/>
          <w:lang w:val="uk" w:eastAsia="uk"/>
        </w:rPr>
        <w:t>1. Загальні Положення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Охорона довкілля є одним із найважливіших пріоритетів сталого розвитку Хмельницької міської територіальної громади. Стан навколишнього природного середовища безпосередньо впливає на здоров'я населення, якість життя, економічний розвиток та соціальне благополуччя громади.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Сучасні екологічні виклики — зміни клімату, зростання обсягів відходів, забруднення повітря, води та ґрунтів — вимагають системного підходу до збереження природних ресурсів та відновлення екологічного рівноваги.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Дбайливе ставлення до довкілля, впровадження природоохоронних технологій, розвиток екологічної освіти та культури є основою для забезпечення гармонійного співіснування людини та природи, збереження природного наслідку для нинішнього та майбутніх поколінь.</w:t>
      </w:r>
    </w:p>
    <w:p w:rsidR="00A82CF9" w:rsidRDefault="00FE1182">
      <w:pPr>
        <w:pStyle w:val="a9"/>
        <w:ind w:firstLine="567"/>
        <w:jc w:val="both"/>
        <w:rPr>
          <w:rFonts w:ascii="Times New Roman" w:hAnsi="Times New Roman"/>
          <w:color w:val="333333"/>
          <w:sz w:val="24"/>
          <w:szCs w:val="24"/>
          <w:shd w:val="clear" w:color="auto" w:fill="FFFFFF"/>
        </w:rPr>
      </w:pPr>
      <w:r>
        <w:rPr>
          <w:rFonts w:ascii="Times New Roman" w:hAnsi="Times New Roman"/>
          <w:sz w:val="24"/>
          <w:szCs w:val="24"/>
        </w:rPr>
        <w:t xml:space="preserve">Згідно зі статтею 26 Закону України «Про місцеве самоврядування в Україні» виключною компетенцією сільських, селищних, міських рад є, зокрема, затвердження </w:t>
      </w:r>
      <w:r>
        <w:rPr>
          <w:rFonts w:ascii="Times New Roman" w:hAnsi="Times New Roman"/>
          <w:color w:val="333333"/>
          <w:sz w:val="24"/>
          <w:szCs w:val="24"/>
          <w:shd w:val="clear" w:color="auto" w:fill="FFFFFF"/>
        </w:rPr>
        <w:t>місцевих та регіональних програм охорони довкілля та інших документів планування місцевого рівня.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Програма розроблена відповідно до положень законодавства України у сфері охорони довкілля, з урахуванням стратегічних документів державного і регіонального рівнів, а саме: Конституції України, Бюджетного, Водного, Лісового та Земельного кодексів України; Законів України «Про охорону навколишнього природного середовища», «Про Основні засади (стратегію) державної екологічної політики України на період до 2030 року», «Про екологічну мережу України», «Про управління відходами», «Про природно-заповідний фонд України», «Про охорону атмосферного повітря», постанови Кабінету Міністрів України від 17.09.1996 року № 1147 «Про затвердження переліку видів діяльності, що належать до природоохоронних заходів»; розпоряджень Кабінету Міністрів України від 08.11.2017 року № 820-р «Про схвалення Національної стратегії управління відходами в Україні до 2030 року», від 27.12.2024 року № 1353-р «Про затвердження Національного плану управління відходами до 2033 року та визнання такими, що втратили чинність, деяких актів», від 20.10.2021 року № 1363-р «Про схвалення Стратегії екологічної безпеки та адаптації до зміни клімату на період до 2030 року», </w:t>
      </w:r>
      <w:r>
        <w:rPr>
          <w:rFonts w:ascii="Times New Roman" w:hAnsi="Times New Roman"/>
        </w:rPr>
        <w:t>від 01.11.2024 року № 1078-р “Про затвердження планів управління річковими басейнами Вісли, Дністра та Південного Бугу на 2025-2030 роки” та ін.</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Під час підготовки Програми було враховано результати моніторингу стану довкілля на території громади, пропозиції виконавчих органів міської ради, комунальних підприємств, громадських організацій та наукових установ.</w:t>
      </w:r>
    </w:p>
    <w:p w:rsidR="00A82CF9" w:rsidRDefault="00FE1182">
      <w:pPr>
        <w:pStyle w:val="a9"/>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Програма охорони довкілля Хмельницької  міської територіальної громади на період 2026–2030 роки спрямована на поліпшення екологічного стану довкілля та забезпечення охорони, збереження, раціонального використання і відтворення природних ресурсів Хмельницької міської територіальної громади.</w:t>
      </w:r>
    </w:p>
    <w:p w:rsidR="00A82CF9" w:rsidRDefault="00A82CF9">
      <w:pPr>
        <w:pStyle w:val="a9"/>
        <w:ind w:firstLine="567"/>
        <w:jc w:val="both"/>
        <w:rPr>
          <w:rStyle w:val="spanrvts0"/>
          <w:rFonts w:eastAsia="Calibri"/>
        </w:rPr>
      </w:pPr>
    </w:p>
    <w:p w:rsidR="00A82CF9" w:rsidRDefault="00FE1182">
      <w:pPr>
        <w:pStyle w:val="rvps2"/>
        <w:spacing w:after="150"/>
        <w:jc w:val="center"/>
        <w:rPr>
          <w:rStyle w:val="spanrvts0"/>
          <w:b/>
          <w:lang w:val="uk" w:eastAsia="uk"/>
        </w:rPr>
      </w:pPr>
      <w:r>
        <w:rPr>
          <w:rStyle w:val="spanrvts0"/>
          <w:b/>
          <w:lang w:val="uk" w:eastAsia="uk"/>
        </w:rPr>
        <w:t>2. Визначення проблем, на розв'язання яких спрямована Програма, шляхи і способи їх вирішення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Аналіз стану довкілля громади свідчить, що, попри загалом сприятливу екологічну ситуацію в порівнянні з іншими громадами та регіонами країни, існує низка ризиків та проблем, пов’язаних із забрудненням повітря, водних та земельних ресурсів. Зменшення цих </w:t>
      </w:r>
      <w:r>
        <w:rPr>
          <w:rFonts w:ascii="Times New Roman" w:hAnsi="Times New Roman"/>
          <w:sz w:val="24"/>
          <w:szCs w:val="24"/>
        </w:rPr>
        <w:lastRenderedPageBreak/>
        <w:t>ризиків потребує впровадження сучасних науково-технічних рішень, посилення природоохоронної діяльності, а також розвитку екологічної освіти та просвіти як серед населення, так і на рівні професійної підготовки.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Стан довкілля в межах Хмельницької міської територіальної громади потребує системного підходу до вирішення екологічних проблем, спричинених антропогенним навантаженням, урбанізацією та зміною клімату.</w:t>
      </w:r>
    </w:p>
    <w:p w:rsidR="00A82CF9" w:rsidRDefault="00FE1182">
      <w:pPr>
        <w:pStyle w:val="a9"/>
        <w:ind w:firstLine="567"/>
        <w:jc w:val="both"/>
        <w:rPr>
          <w:rFonts w:ascii="Times New Roman" w:hAnsi="Times New Roman"/>
          <w:sz w:val="24"/>
          <w:szCs w:val="24"/>
        </w:rPr>
      </w:pPr>
      <w:r>
        <w:rPr>
          <w:rFonts w:ascii="Times New Roman" w:hAnsi="Times New Roman"/>
          <w:sz w:val="24"/>
          <w:szCs w:val="24"/>
          <w:shd w:val="clear" w:color="auto" w:fill="FFFFFF"/>
        </w:rPr>
        <w:t xml:space="preserve">Програма охорони довкілля Хмельницької міської територіальної громади спрямована на розв'язання таких проблем, як </w:t>
      </w:r>
      <w:r>
        <w:rPr>
          <w:rFonts w:ascii="Times New Roman" w:hAnsi="Times New Roman"/>
          <w:sz w:val="24"/>
          <w:szCs w:val="24"/>
        </w:rPr>
        <w:t xml:space="preserve">наявність випадків перевищення рівня забруднення атмосферного повітря, водних об’єктів, </w:t>
      </w:r>
      <w:r>
        <w:rPr>
          <w:rFonts w:ascii="Times New Roman" w:hAnsi="Times New Roman"/>
          <w:sz w:val="24"/>
          <w:szCs w:val="24"/>
          <w:shd w:val="clear" w:color="auto" w:fill="FFFFFF"/>
        </w:rPr>
        <w:t xml:space="preserve">зниження якості води за гідрохімічними та біологічними показниками, </w:t>
      </w:r>
      <w:r>
        <w:rPr>
          <w:rFonts w:ascii="Times New Roman" w:hAnsi="Times New Roman"/>
          <w:sz w:val="24"/>
          <w:szCs w:val="24"/>
        </w:rPr>
        <w:t>критичний рівень заповнення сміттєвого полігону</w:t>
      </w:r>
      <w:r>
        <w:rPr>
          <w:rFonts w:ascii="Times New Roman" w:hAnsi="Times New Roman"/>
          <w:sz w:val="24"/>
          <w:szCs w:val="24"/>
          <w:shd w:val="clear" w:color="auto" w:fill="FFFFFF"/>
        </w:rPr>
        <w:t xml:space="preserve"> та наявність  несанкціонованих сміттєзвалищ, з</w:t>
      </w:r>
      <w:r>
        <w:rPr>
          <w:rFonts w:ascii="Times New Roman" w:hAnsi="Times New Roman"/>
          <w:sz w:val="24"/>
          <w:szCs w:val="24"/>
        </w:rPr>
        <w:t>меншення рекреаційних зон та зон зелених насаджень загального користування внаслідок забудови.</w:t>
      </w:r>
    </w:p>
    <w:p w:rsidR="00A82CF9" w:rsidRDefault="00A82CF9">
      <w:pPr>
        <w:pStyle w:val="a9"/>
        <w:ind w:firstLine="567"/>
        <w:jc w:val="both"/>
        <w:rPr>
          <w:rFonts w:ascii="Times New Roman" w:hAnsi="Times New Roman"/>
          <w:sz w:val="24"/>
          <w:szCs w:val="24"/>
        </w:rPr>
      </w:pPr>
    </w:p>
    <w:p w:rsidR="00A82CF9" w:rsidRDefault="00FE1182">
      <w:pPr>
        <w:pStyle w:val="a9"/>
        <w:ind w:right="-141" w:firstLine="567"/>
        <w:jc w:val="center"/>
        <w:rPr>
          <w:rFonts w:ascii="Times New Roman" w:hAnsi="Times New Roman"/>
          <w:b/>
          <w:sz w:val="24"/>
          <w:szCs w:val="24"/>
        </w:rPr>
      </w:pPr>
      <w:r>
        <w:rPr>
          <w:rFonts w:ascii="Times New Roman" w:hAnsi="Times New Roman"/>
          <w:b/>
          <w:sz w:val="24"/>
          <w:szCs w:val="24"/>
        </w:rPr>
        <w:t>2.1. Атмосферне повітря</w:t>
      </w:r>
    </w:p>
    <w:p w:rsidR="00A82CF9" w:rsidRDefault="00A82CF9">
      <w:pPr>
        <w:pStyle w:val="a9"/>
        <w:ind w:right="-141" w:firstLine="567"/>
        <w:jc w:val="center"/>
        <w:rPr>
          <w:rFonts w:ascii="Times New Roman" w:hAnsi="Times New Roman"/>
          <w:b/>
          <w:sz w:val="24"/>
          <w:szCs w:val="24"/>
        </w:rPr>
      </w:pP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Клімат території Хмельницької МТГ характеризується теплим, малохмарним літом і помірно м’якою, переважно хмарною зимою.</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Основними чинниками, що визначають режим забруднення атмосфери в межах Хмельницької міської територіальної громади, є </w:t>
      </w:r>
      <w:r>
        <w:rPr>
          <w:rStyle w:val="a7"/>
          <w:rFonts w:ascii="Times New Roman" w:eastAsiaTheme="majorEastAsia" w:hAnsi="Times New Roman"/>
          <w:b w:val="0"/>
          <w:sz w:val="24"/>
          <w:szCs w:val="24"/>
        </w:rPr>
        <w:t>техногенні (емісійні) джерела викидів</w:t>
      </w:r>
      <w:r>
        <w:rPr>
          <w:rFonts w:ascii="Times New Roman" w:hAnsi="Times New Roman"/>
          <w:sz w:val="24"/>
          <w:szCs w:val="24"/>
        </w:rPr>
        <w:t xml:space="preserve">, а також </w:t>
      </w:r>
      <w:r>
        <w:rPr>
          <w:rStyle w:val="a7"/>
          <w:rFonts w:ascii="Times New Roman" w:eastAsiaTheme="majorEastAsia" w:hAnsi="Times New Roman"/>
          <w:b w:val="0"/>
          <w:sz w:val="24"/>
          <w:szCs w:val="24"/>
        </w:rPr>
        <w:t>метеорологічні та топографічні особливості території</w:t>
      </w:r>
      <w:r>
        <w:rPr>
          <w:rFonts w:ascii="Times New Roman" w:hAnsi="Times New Roman"/>
          <w:sz w:val="24"/>
          <w:szCs w:val="24"/>
        </w:rPr>
        <w:t xml:space="preserve">. Емісійне навантаження формується під впливом </w:t>
      </w:r>
      <w:r>
        <w:rPr>
          <w:rStyle w:val="a7"/>
          <w:rFonts w:ascii="Times New Roman" w:eastAsiaTheme="majorEastAsia" w:hAnsi="Times New Roman"/>
          <w:b w:val="0"/>
          <w:sz w:val="24"/>
          <w:szCs w:val="24"/>
        </w:rPr>
        <w:t>стаціонарних</w:t>
      </w:r>
      <w:r>
        <w:rPr>
          <w:rFonts w:ascii="Times New Roman" w:hAnsi="Times New Roman"/>
          <w:b/>
          <w:sz w:val="24"/>
          <w:szCs w:val="24"/>
        </w:rPr>
        <w:t xml:space="preserve"> </w:t>
      </w:r>
      <w:r>
        <w:rPr>
          <w:rFonts w:ascii="Times New Roman" w:hAnsi="Times New Roman"/>
          <w:sz w:val="24"/>
          <w:szCs w:val="24"/>
        </w:rPr>
        <w:t xml:space="preserve">і </w:t>
      </w:r>
      <w:r>
        <w:rPr>
          <w:rStyle w:val="a7"/>
          <w:rFonts w:ascii="Times New Roman" w:eastAsiaTheme="majorEastAsia" w:hAnsi="Times New Roman"/>
          <w:b w:val="0"/>
          <w:sz w:val="24"/>
          <w:szCs w:val="24"/>
        </w:rPr>
        <w:t>пересувних</w:t>
      </w:r>
      <w:r>
        <w:rPr>
          <w:rFonts w:ascii="Times New Roman" w:hAnsi="Times New Roman"/>
          <w:sz w:val="24"/>
          <w:szCs w:val="24"/>
        </w:rPr>
        <w:t xml:space="preserve"> джерел забруднення.</w:t>
      </w:r>
    </w:p>
    <w:p w:rsidR="00A82CF9" w:rsidRDefault="00FE1182">
      <w:pPr>
        <w:pStyle w:val="a9"/>
        <w:ind w:firstLine="567"/>
        <w:jc w:val="both"/>
        <w:rPr>
          <w:rFonts w:ascii="Times New Roman" w:hAnsi="Times New Roman"/>
          <w:b/>
          <w:bCs/>
          <w:sz w:val="24"/>
          <w:szCs w:val="24"/>
        </w:rPr>
      </w:pPr>
      <w:r>
        <w:rPr>
          <w:rFonts w:ascii="Times New Roman" w:hAnsi="Times New Roman"/>
          <w:sz w:val="24"/>
          <w:szCs w:val="24"/>
        </w:rPr>
        <w:t xml:space="preserve">Найбільший внесок у загальний обсяг викидів забруднюючих  речовин в атмосферне повітря Хмельницької МТГ здійснюють такі галузі: </w:t>
      </w:r>
      <w:r>
        <w:rPr>
          <w:rStyle w:val="a7"/>
          <w:rFonts w:ascii="Times New Roman" w:eastAsiaTheme="majorEastAsia" w:hAnsi="Times New Roman"/>
          <w:b w:val="0"/>
          <w:sz w:val="24"/>
          <w:szCs w:val="24"/>
        </w:rPr>
        <w:t>переробна промисловість</w:t>
      </w:r>
      <w:r>
        <w:rPr>
          <w:rFonts w:ascii="Times New Roman" w:hAnsi="Times New Roman"/>
          <w:b/>
          <w:sz w:val="24"/>
          <w:szCs w:val="24"/>
        </w:rPr>
        <w:t>,</w:t>
      </w:r>
      <w:r>
        <w:rPr>
          <w:rFonts w:ascii="Times New Roman" w:hAnsi="Times New Roman"/>
          <w:b/>
          <w:bCs/>
          <w:sz w:val="24"/>
          <w:szCs w:val="24"/>
        </w:rPr>
        <w:t xml:space="preserve"> </w:t>
      </w:r>
      <w:r>
        <w:rPr>
          <w:rStyle w:val="a7"/>
          <w:rFonts w:ascii="Times New Roman" w:eastAsiaTheme="majorEastAsia" w:hAnsi="Times New Roman"/>
          <w:b w:val="0"/>
          <w:sz w:val="24"/>
          <w:szCs w:val="24"/>
        </w:rPr>
        <w:t>постачання електроенергії, газу, пари та кондиційованого повітря</w:t>
      </w:r>
      <w:r>
        <w:rPr>
          <w:rFonts w:ascii="Times New Roman" w:hAnsi="Times New Roman"/>
          <w:b/>
          <w:sz w:val="24"/>
          <w:szCs w:val="24"/>
        </w:rPr>
        <w:t>,</w:t>
      </w:r>
      <w:r>
        <w:rPr>
          <w:rFonts w:ascii="Times New Roman" w:hAnsi="Times New Roman"/>
          <w:sz w:val="24"/>
          <w:szCs w:val="24"/>
        </w:rPr>
        <w:t xml:space="preserve"> а також </w:t>
      </w:r>
      <w:r>
        <w:rPr>
          <w:rStyle w:val="a7"/>
          <w:rFonts w:ascii="Times New Roman" w:eastAsiaTheme="majorEastAsia" w:hAnsi="Times New Roman"/>
          <w:b w:val="0"/>
          <w:sz w:val="24"/>
          <w:szCs w:val="24"/>
        </w:rPr>
        <w:t>сільське господарство</w:t>
      </w:r>
      <w:r>
        <w:rPr>
          <w:rFonts w:ascii="Times New Roman" w:hAnsi="Times New Roman"/>
          <w:b/>
          <w:sz w:val="24"/>
          <w:szCs w:val="24"/>
        </w:rPr>
        <w:t xml:space="preserve"> </w:t>
      </w:r>
      <w:r>
        <w:rPr>
          <w:rFonts w:ascii="Times New Roman" w:hAnsi="Times New Roman"/>
          <w:sz w:val="24"/>
          <w:szCs w:val="24"/>
        </w:rPr>
        <w:t>і</w:t>
      </w:r>
      <w:r>
        <w:rPr>
          <w:rFonts w:ascii="Times New Roman" w:hAnsi="Times New Roman"/>
          <w:b/>
          <w:sz w:val="24"/>
          <w:szCs w:val="24"/>
        </w:rPr>
        <w:t xml:space="preserve"> </w:t>
      </w:r>
      <w:r>
        <w:rPr>
          <w:rStyle w:val="a7"/>
          <w:rFonts w:ascii="Times New Roman" w:eastAsiaTheme="majorEastAsia" w:hAnsi="Times New Roman"/>
          <w:b w:val="0"/>
          <w:sz w:val="24"/>
          <w:szCs w:val="24"/>
        </w:rPr>
        <w:t>автотранспорт</w:t>
      </w:r>
      <w:r>
        <w:rPr>
          <w:rFonts w:ascii="Times New Roman" w:hAnsi="Times New Roman"/>
          <w:b/>
          <w:bCs/>
          <w:sz w:val="24"/>
          <w:szCs w:val="24"/>
        </w:rPr>
        <w:t xml:space="preserve">. </w:t>
      </w:r>
    </w:p>
    <w:p w:rsidR="00A82CF9" w:rsidRDefault="00FE1182">
      <w:pPr>
        <w:pStyle w:val="a9"/>
        <w:ind w:firstLine="567"/>
        <w:jc w:val="both"/>
        <w:rPr>
          <w:rFonts w:ascii="Times New Roman" w:hAnsi="Times New Roman"/>
          <w:sz w:val="24"/>
          <w:szCs w:val="24"/>
        </w:rPr>
      </w:pPr>
      <w:r>
        <w:rPr>
          <w:rFonts w:ascii="Times New Roman" w:hAnsi="Times New Roman"/>
          <w:spacing w:val="-4"/>
          <w:sz w:val="24"/>
          <w:szCs w:val="24"/>
        </w:rPr>
        <w:t>У 2024 р.</w:t>
      </w:r>
      <w:r>
        <w:rPr>
          <w:rFonts w:ascii="Times New Roman" w:hAnsi="Times New Roman"/>
          <w:sz w:val="24"/>
          <w:szCs w:val="24"/>
        </w:rPr>
        <w:t xml:space="preserve"> від </w:t>
      </w:r>
      <w:r>
        <w:rPr>
          <w:rFonts w:ascii="Times New Roman" w:hAnsi="Times New Roman"/>
          <w:bCs/>
          <w:sz w:val="24"/>
          <w:szCs w:val="24"/>
        </w:rPr>
        <w:t>стаціонарних джерел</w:t>
      </w:r>
      <w:r>
        <w:rPr>
          <w:rFonts w:ascii="Times New Roman" w:hAnsi="Times New Roman"/>
          <w:spacing w:val="-4"/>
          <w:sz w:val="24"/>
          <w:szCs w:val="24"/>
        </w:rPr>
        <w:t xml:space="preserve"> викидів у повітряний басейн міста</w:t>
      </w:r>
      <w:r>
        <w:rPr>
          <w:rFonts w:ascii="Times New Roman" w:hAnsi="Times New Roman"/>
          <w:bCs/>
          <w:sz w:val="24"/>
          <w:szCs w:val="24"/>
        </w:rPr>
        <w:t xml:space="preserve"> </w:t>
      </w:r>
      <w:r>
        <w:rPr>
          <w:rFonts w:ascii="Times New Roman" w:hAnsi="Times New Roman"/>
          <w:sz w:val="24"/>
          <w:szCs w:val="24"/>
        </w:rPr>
        <w:t xml:space="preserve">надійшло </w:t>
      </w:r>
      <w:r>
        <w:rPr>
          <w:rFonts w:ascii="Times New Roman" w:eastAsia="Times New Roman" w:hAnsi="Times New Roman"/>
          <w:sz w:val="24"/>
          <w:szCs w:val="24"/>
          <w:lang w:eastAsia="ru-RU"/>
        </w:rPr>
        <w:t xml:space="preserve">1021,880 тонн </w:t>
      </w:r>
      <w:r>
        <w:rPr>
          <w:rFonts w:ascii="Times New Roman" w:hAnsi="Times New Roman"/>
          <w:sz w:val="24"/>
          <w:szCs w:val="24"/>
        </w:rPr>
        <w:t>забруднюючих речовин, що на 7 % менше ніж у 2023 році (</w:t>
      </w:r>
      <w:r>
        <w:rPr>
          <w:rFonts w:ascii="Times New Roman" w:eastAsia="Times New Roman" w:hAnsi="Times New Roman"/>
          <w:sz w:val="24"/>
          <w:szCs w:val="24"/>
          <w:lang w:eastAsia="ru-RU"/>
        </w:rPr>
        <w:t>1097,529 тонн)</w:t>
      </w:r>
      <w:r>
        <w:rPr>
          <w:rFonts w:ascii="Times New Roman" w:hAnsi="Times New Roman"/>
          <w:sz w:val="24"/>
          <w:szCs w:val="24"/>
        </w:rPr>
        <w:t xml:space="preserve">. </w:t>
      </w:r>
    </w:p>
    <w:p w:rsidR="00A82CF9" w:rsidRDefault="00A82CF9">
      <w:pPr>
        <w:pStyle w:val="a9"/>
        <w:ind w:left="142"/>
        <w:jc w:val="center"/>
        <w:rPr>
          <w:rFonts w:ascii="Times New Roman" w:hAnsi="Times New Roman"/>
          <w:sz w:val="24"/>
          <w:szCs w:val="24"/>
        </w:rPr>
      </w:pPr>
    </w:p>
    <w:p w:rsidR="00A82CF9" w:rsidRDefault="00FE1182">
      <w:pPr>
        <w:pStyle w:val="a9"/>
        <w:ind w:firstLine="567"/>
        <w:jc w:val="both"/>
        <w:rPr>
          <w:rFonts w:ascii="Times New Roman" w:hAnsi="Times New Roman"/>
          <w:sz w:val="24"/>
          <w:szCs w:val="24"/>
          <w:lang w:eastAsia="ru-RU"/>
        </w:rPr>
      </w:pPr>
      <w:r>
        <w:rPr>
          <w:noProof/>
          <w:lang w:eastAsia="uk-UA"/>
        </w:rPr>
        <w:drawing>
          <wp:inline distT="0" distB="0" distL="0" distR="0">
            <wp:extent cx="4867275" cy="3048000"/>
            <wp:effectExtent l="0" t="0" r="9525"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82CF9" w:rsidRDefault="00A82CF9">
      <w:pPr>
        <w:pStyle w:val="a9"/>
        <w:ind w:firstLine="567"/>
        <w:jc w:val="both"/>
        <w:rPr>
          <w:rFonts w:ascii="Times New Roman" w:hAnsi="Times New Roman"/>
          <w:sz w:val="24"/>
          <w:szCs w:val="24"/>
          <w:lang w:eastAsia="ru-RU"/>
        </w:rPr>
      </w:pPr>
    </w:p>
    <w:p w:rsidR="00A82CF9" w:rsidRDefault="00FE1182">
      <w:pPr>
        <w:pStyle w:val="a9"/>
        <w:ind w:firstLine="567"/>
        <w:jc w:val="both"/>
        <w:rPr>
          <w:rFonts w:ascii="Times New Roman" w:hAnsi="Times New Roman"/>
          <w:color w:val="000000"/>
          <w:sz w:val="24"/>
          <w:szCs w:val="24"/>
          <w:shd w:val="clear" w:color="auto" w:fill="FFFFFF"/>
        </w:rPr>
      </w:pPr>
      <w:r>
        <w:rPr>
          <w:rFonts w:ascii="Times New Roman" w:hAnsi="Times New Roman"/>
          <w:sz w:val="24"/>
          <w:szCs w:val="24"/>
        </w:rPr>
        <w:t xml:space="preserve">З метою забезпечення системного контролю за станом атмосферного повітря Постановою Кабінету Міністрів України від 14 серпня 2019 року № 827 затверджено Порядок здійснення державного моніторингу в галузі охорони атмосферного повітря та визначено зони і агломерації, у межах яких проводиться такий контроль. </w:t>
      </w:r>
      <w:r>
        <w:rPr>
          <w:rFonts w:ascii="Times New Roman" w:hAnsi="Times New Roman"/>
          <w:color w:val="000000"/>
          <w:sz w:val="24"/>
          <w:szCs w:val="24"/>
          <w:shd w:val="clear" w:color="auto" w:fill="FFFFFF"/>
        </w:rPr>
        <w:t>Місто Хмельницький є окремою агломерацією згідно Переліку зон та агломерацій, що встановлюються на території України.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Рішенням Хмельницької міської ради від 04.03.2020 року № 24 «Про затвердження заходів щодо організації та здійснення моніторингу в галузі охорони атмосферного повітря на території міста Хмельницького» функції органу управління якістю атмосферного повітря </w:t>
      </w:r>
      <w:r>
        <w:rPr>
          <w:rFonts w:ascii="Times New Roman" w:hAnsi="Times New Roman"/>
          <w:sz w:val="24"/>
          <w:szCs w:val="24"/>
        </w:rPr>
        <w:lastRenderedPageBreak/>
        <w:t>агломерації «Хмельницький» покладені на управління з питань екології та контролю за благоустроєм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У  2022 році рішенням сесії Хмельницької міської ради від 28.04.2022 року № 11 було затверджено «Програму державного моніторингу у галузі охорони атмосферного повітря агломерації «Хмельницький» на 2022 - 2026 роки».</w:t>
      </w:r>
    </w:p>
    <w:p w:rsidR="00A82CF9" w:rsidRDefault="00FE1182">
      <w:pPr>
        <w:pStyle w:val="a9"/>
        <w:ind w:firstLine="567"/>
        <w:jc w:val="both"/>
        <w:rPr>
          <w:rFonts w:ascii="Times New Roman" w:hAnsi="Times New Roman"/>
          <w:sz w:val="24"/>
          <w:szCs w:val="24"/>
        </w:rPr>
      </w:pPr>
      <w:r>
        <w:rPr>
          <w:rFonts w:ascii="Times New Roman" w:hAnsi="Times New Roman"/>
          <w:spacing w:val="-4"/>
          <w:sz w:val="24"/>
          <w:szCs w:val="24"/>
        </w:rPr>
        <w:t>Спостереження</w:t>
      </w:r>
      <w:r>
        <w:rPr>
          <w:rFonts w:ascii="Times New Roman" w:hAnsi="Times New Roman"/>
          <w:sz w:val="24"/>
          <w:szCs w:val="24"/>
        </w:rPr>
        <w:t xml:space="preserve"> за якістю атмосферного повітря у межах Хмельницької МТГ здійснюється лише в місті Хмельницькому двома стаціонарними </w:t>
      </w:r>
      <w:r>
        <w:rPr>
          <w:rFonts w:ascii="Times New Roman" w:hAnsi="Times New Roman"/>
          <w:spacing w:val="-4"/>
          <w:sz w:val="24"/>
          <w:szCs w:val="24"/>
        </w:rPr>
        <w:t>постами Хмельницького обласного центру з гідрометео</w:t>
      </w:r>
      <w:r>
        <w:rPr>
          <w:rFonts w:ascii="Times New Roman" w:hAnsi="Times New Roman"/>
          <w:sz w:val="24"/>
          <w:szCs w:val="24"/>
        </w:rPr>
        <w:t>рології (розташовані за адресою Чорновола, 122 та на перетині вулиць Романа Шухевича і Олімпійської) за 19-ма речовинами: пил, діоксид сірки, оксид вуглецю, діоксид азоту, оксид азоту, фенол, хлороводень, аміак, формальдегід – основні і специфічні – аміак, формальдегід та вісім важких металів.</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За інформацією суб’єктів моніторингу, протягом останніх </w:t>
      </w:r>
      <w:r>
        <w:rPr>
          <w:rStyle w:val="a7"/>
          <w:rFonts w:ascii="Times New Roman" w:eastAsiaTheme="majorEastAsia" w:hAnsi="Times New Roman"/>
          <w:b w:val="0"/>
          <w:sz w:val="24"/>
          <w:szCs w:val="24"/>
        </w:rPr>
        <w:t>п’яти років</w:t>
      </w:r>
      <w:r>
        <w:rPr>
          <w:rFonts w:ascii="Times New Roman" w:hAnsi="Times New Roman"/>
          <w:sz w:val="24"/>
          <w:szCs w:val="24"/>
        </w:rPr>
        <w:t xml:space="preserve"> не зафіксовано екстремальних рівнів забруднення атмосфери, спричинених аваріями техногенного характеру або несприятливими природними явищами. Також не виявлено наднормативних викидів зі стаціонарних джерел підприємств, які могли б істотно вплинути на стан атмосферного повітря. </w:t>
      </w:r>
      <w:r>
        <w:rPr>
          <w:rFonts w:ascii="Times New Roman" w:hAnsi="Times New Roman"/>
          <w:iCs/>
          <w:sz w:val="24"/>
          <w:szCs w:val="24"/>
          <w:lang w:eastAsia="ru-RU"/>
        </w:rPr>
        <w:t>Середньорічні концентрації  забруднюючих речовин в атмосферному повітрі міста Хмельницького наведено в таблиці 1.</w:t>
      </w:r>
      <w:r>
        <w:rPr>
          <w:rFonts w:ascii="Times New Roman" w:hAnsi="Times New Roman"/>
          <w:sz w:val="24"/>
          <w:szCs w:val="24"/>
        </w:rPr>
        <w:t xml:space="preserve"> </w:t>
      </w:r>
    </w:p>
    <w:p w:rsidR="00A82CF9" w:rsidRDefault="00A82CF9">
      <w:pPr>
        <w:pStyle w:val="a9"/>
        <w:jc w:val="both"/>
        <w:rPr>
          <w:rFonts w:ascii="Times New Roman" w:hAnsi="Times New Roman"/>
          <w:iCs/>
          <w:sz w:val="24"/>
          <w:szCs w:val="24"/>
          <w:lang w:eastAsia="ru-RU"/>
        </w:rPr>
      </w:pPr>
    </w:p>
    <w:p w:rsidR="00A82CF9" w:rsidRDefault="00FE1182">
      <w:pPr>
        <w:pStyle w:val="a9"/>
        <w:jc w:val="center"/>
        <w:rPr>
          <w:rFonts w:ascii="Times New Roman" w:hAnsi="Times New Roman"/>
          <w:color w:val="000000"/>
          <w:sz w:val="24"/>
          <w:szCs w:val="24"/>
        </w:rPr>
      </w:pPr>
      <w:r>
        <w:rPr>
          <w:rFonts w:ascii="Times New Roman" w:hAnsi="Times New Roman"/>
          <w:b/>
          <w:iCs/>
          <w:sz w:val="24"/>
          <w:szCs w:val="24"/>
          <w:lang w:eastAsia="ru-RU"/>
        </w:rPr>
        <w:t xml:space="preserve">Таблиця 1 − </w:t>
      </w:r>
      <w:r>
        <w:rPr>
          <w:rFonts w:ascii="Times New Roman" w:hAnsi="Times New Roman"/>
          <w:sz w:val="24"/>
          <w:szCs w:val="24"/>
        </w:rPr>
        <w:t>Вміст забруднюючих речовин в атмосферному повітрі міста Хмельницького у 2018-2024 роках, мг/ м</w:t>
      </w:r>
      <w:r>
        <w:rPr>
          <w:rFonts w:ascii="Times New Roman" w:hAnsi="Times New Roman"/>
          <w:sz w:val="24"/>
          <w:szCs w:val="24"/>
          <w:vertAlign w:val="superscript"/>
        </w:rPr>
        <w:t>3</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995"/>
        <w:gridCol w:w="992"/>
        <w:gridCol w:w="992"/>
        <w:gridCol w:w="992"/>
        <w:gridCol w:w="993"/>
        <w:gridCol w:w="992"/>
        <w:gridCol w:w="992"/>
      </w:tblGrid>
      <w:tr w:rsidR="00A82CF9">
        <w:tc>
          <w:tcPr>
            <w:tcW w:w="1699" w:type="dxa"/>
            <w:shd w:val="clear" w:color="auto" w:fill="auto"/>
          </w:tcPr>
          <w:p w:rsidR="00A82CF9" w:rsidRDefault="00A82CF9">
            <w:pPr>
              <w:pStyle w:val="a9"/>
              <w:jc w:val="center"/>
              <w:rPr>
                <w:rFonts w:ascii="Times New Roman" w:eastAsia="Times New Roman" w:hAnsi="Times New Roman"/>
                <w:color w:val="000000"/>
                <w:sz w:val="24"/>
                <w:szCs w:val="24"/>
              </w:rPr>
            </w:pPr>
          </w:p>
        </w:tc>
        <w:tc>
          <w:tcPr>
            <w:tcW w:w="995" w:type="dxa"/>
            <w:shd w:val="clear" w:color="auto" w:fill="auto"/>
          </w:tcPr>
          <w:p w:rsidR="00A82CF9" w:rsidRDefault="00FE1182">
            <w:pPr>
              <w:pStyle w:val="a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2018</w:t>
            </w:r>
          </w:p>
        </w:tc>
        <w:tc>
          <w:tcPr>
            <w:tcW w:w="992" w:type="dxa"/>
            <w:shd w:val="clear" w:color="auto" w:fill="auto"/>
          </w:tcPr>
          <w:p w:rsidR="00A82CF9" w:rsidRDefault="00FE1182">
            <w:pPr>
              <w:pStyle w:val="a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2019</w:t>
            </w:r>
          </w:p>
        </w:tc>
        <w:tc>
          <w:tcPr>
            <w:tcW w:w="992" w:type="dxa"/>
          </w:tcPr>
          <w:p w:rsidR="00A82CF9" w:rsidRDefault="00FE1182">
            <w:pPr>
              <w:pStyle w:val="a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2020</w:t>
            </w:r>
          </w:p>
        </w:tc>
        <w:tc>
          <w:tcPr>
            <w:tcW w:w="992" w:type="dxa"/>
          </w:tcPr>
          <w:p w:rsidR="00A82CF9" w:rsidRDefault="00FE1182">
            <w:pPr>
              <w:pStyle w:val="a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2021</w:t>
            </w:r>
          </w:p>
        </w:tc>
        <w:tc>
          <w:tcPr>
            <w:tcW w:w="993" w:type="dxa"/>
          </w:tcPr>
          <w:p w:rsidR="00A82CF9" w:rsidRDefault="00FE1182">
            <w:pPr>
              <w:pStyle w:val="a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2022</w:t>
            </w:r>
          </w:p>
        </w:tc>
        <w:tc>
          <w:tcPr>
            <w:tcW w:w="992" w:type="dxa"/>
          </w:tcPr>
          <w:p w:rsidR="00A82CF9" w:rsidRDefault="00FE1182">
            <w:pPr>
              <w:pStyle w:val="a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2023</w:t>
            </w:r>
          </w:p>
        </w:tc>
        <w:tc>
          <w:tcPr>
            <w:tcW w:w="992" w:type="dxa"/>
          </w:tcPr>
          <w:p w:rsidR="00A82CF9" w:rsidRDefault="00FE1182">
            <w:pPr>
              <w:pStyle w:val="a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2024</w:t>
            </w:r>
          </w:p>
        </w:tc>
      </w:tr>
      <w:tr w:rsidR="00A82CF9">
        <w:tc>
          <w:tcPr>
            <w:tcW w:w="1699"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Пил</w:t>
            </w:r>
          </w:p>
        </w:tc>
        <w:tc>
          <w:tcPr>
            <w:tcW w:w="995"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0,0809</w:t>
            </w:r>
          </w:p>
        </w:tc>
        <w:tc>
          <w:tcPr>
            <w:tcW w:w="992"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0,0714</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0,078</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0,087</w:t>
            </w:r>
          </w:p>
        </w:tc>
        <w:tc>
          <w:tcPr>
            <w:tcW w:w="993"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0,08</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0,0855</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w:t>
            </w:r>
            <w:r>
              <w:rPr>
                <w:rFonts w:ascii="Times New Roman" w:eastAsia="Times New Roman" w:hAnsi="Times New Roman"/>
                <w:color w:val="000000"/>
                <w:sz w:val="24"/>
                <w:szCs w:val="24"/>
                <w:lang w:val="en-US"/>
              </w:rPr>
              <w:t>782</w:t>
            </w:r>
          </w:p>
        </w:tc>
      </w:tr>
      <w:tr w:rsidR="00A82CF9">
        <w:tc>
          <w:tcPr>
            <w:tcW w:w="1699"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Діоксид сірки</w:t>
            </w:r>
          </w:p>
        </w:tc>
        <w:tc>
          <w:tcPr>
            <w:tcW w:w="995"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0,0234</w:t>
            </w:r>
          </w:p>
        </w:tc>
        <w:tc>
          <w:tcPr>
            <w:tcW w:w="992"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0,0272</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0,023</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0,026</w:t>
            </w:r>
          </w:p>
        </w:tc>
        <w:tc>
          <w:tcPr>
            <w:tcW w:w="993"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0,023</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0,0174</w:t>
            </w:r>
          </w:p>
        </w:tc>
        <w:tc>
          <w:tcPr>
            <w:tcW w:w="992" w:type="dxa"/>
          </w:tcPr>
          <w:p w:rsidR="00A82CF9" w:rsidRDefault="00FE1182">
            <w:pPr>
              <w:pStyle w:val="a9"/>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0,016</w:t>
            </w:r>
            <w:r>
              <w:rPr>
                <w:rFonts w:ascii="Times New Roman" w:eastAsia="Times New Roman" w:hAnsi="Times New Roman"/>
                <w:color w:val="000000"/>
                <w:sz w:val="24"/>
                <w:szCs w:val="24"/>
                <w:lang w:val="en-US"/>
              </w:rPr>
              <w:t>4</w:t>
            </w:r>
          </w:p>
        </w:tc>
      </w:tr>
      <w:tr w:rsidR="00A82CF9">
        <w:tc>
          <w:tcPr>
            <w:tcW w:w="1699"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Оксид вуглецю</w:t>
            </w:r>
          </w:p>
        </w:tc>
        <w:tc>
          <w:tcPr>
            <w:tcW w:w="995"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1,6897</w:t>
            </w:r>
          </w:p>
        </w:tc>
        <w:tc>
          <w:tcPr>
            <w:tcW w:w="992"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2,2826</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2,175</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1,725</w:t>
            </w:r>
          </w:p>
        </w:tc>
        <w:tc>
          <w:tcPr>
            <w:tcW w:w="993"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1,86</w:t>
            </w:r>
          </w:p>
        </w:tc>
        <w:tc>
          <w:tcPr>
            <w:tcW w:w="992" w:type="dxa"/>
          </w:tcPr>
          <w:p w:rsidR="00A82CF9" w:rsidRDefault="00FE1182">
            <w:pPr>
              <w:pStyle w:val="a9"/>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2,0</w:t>
            </w:r>
            <w:r>
              <w:rPr>
                <w:rFonts w:ascii="Times New Roman" w:eastAsia="Times New Roman" w:hAnsi="Times New Roman"/>
                <w:color w:val="000000"/>
                <w:sz w:val="24"/>
                <w:szCs w:val="24"/>
                <w:lang w:val="en-US"/>
              </w:rPr>
              <w:t>199</w:t>
            </w:r>
          </w:p>
        </w:tc>
      </w:tr>
      <w:tr w:rsidR="00A82CF9">
        <w:tc>
          <w:tcPr>
            <w:tcW w:w="1699"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Діоксид азоту</w:t>
            </w:r>
          </w:p>
        </w:tc>
        <w:tc>
          <w:tcPr>
            <w:tcW w:w="995"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0,0404</w:t>
            </w:r>
          </w:p>
        </w:tc>
        <w:tc>
          <w:tcPr>
            <w:tcW w:w="992"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0,0556</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0,046</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0,042</w:t>
            </w:r>
          </w:p>
        </w:tc>
        <w:tc>
          <w:tcPr>
            <w:tcW w:w="993"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0,039</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0,0328</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0,0337</w:t>
            </w:r>
          </w:p>
        </w:tc>
      </w:tr>
      <w:tr w:rsidR="00A82CF9">
        <w:tc>
          <w:tcPr>
            <w:tcW w:w="1699"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Оксид азоту</w:t>
            </w:r>
          </w:p>
        </w:tc>
        <w:tc>
          <w:tcPr>
            <w:tcW w:w="995"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0,0235</w:t>
            </w:r>
          </w:p>
        </w:tc>
        <w:tc>
          <w:tcPr>
            <w:tcW w:w="992"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0,0279</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hAnsi="Times New Roman"/>
                <w:sz w:val="24"/>
                <w:szCs w:val="24"/>
              </w:rPr>
              <w:t>0,0289</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0,037</w:t>
            </w:r>
          </w:p>
        </w:tc>
        <w:tc>
          <w:tcPr>
            <w:tcW w:w="993"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0,032</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0,0272</w:t>
            </w:r>
          </w:p>
        </w:tc>
        <w:tc>
          <w:tcPr>
            <w:tcW w:w="992" w:type="dxa"/>
          </w:tcPr>
          <w:p w:rsidR="00A82CF9" w:rsidRDefault="00FE1182">
            <w:pPr>
              <w:pStyle w:val="a9"/>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0,02</w:t>
            </w:r>
            <w:r>
              <w:rPr>
                <w:rFonts w:ascii="Times New Roman" w:eastAsia="Times New Roman" w:hAnsi="Times New Roman"/>
                <w:color w:val="000000"/>
                <w:sz w:val="24"/>
                <w:szCs w:val="24"/>
                <w:lang w:val="en-US"/>
              </w:rPr>
              <w:t>74</w:t>
            </w:r>
          </w:p>
        </w:tc>
      </w:tr>
      <w:tr w:rsidR="00A82CF9">
        <w:tc>
          <w:tcPr>
            <w:tcW w:w="1699"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Фенол</w:t>
            </w:r>
          </w:p>
        </w:tc>
        <w:tc>
          <w:tcPr>
            <w:tcW w:w="995"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0,0013</w:t>
            </w:r>
          </w:p>
        </w:tc>
        <w:tc>
          <w:tcPr>
            <w:tcW w:w="992" w:type="dxa"/>
            <w:shd w:val="clear" w:color="auto" w:fill="auto"/>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0,0019</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0,0024</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hAnsi="Times New Roman"/>
                <w:sz w:val="24"/>
                <w:szCs w:val="24"/>
              </w:rPr>
              <w:t>0,0021</w:t>
            </w:r>
          </w:p>
        </w:tc>
        <w:tc>
          <w:tcPr>
            <w:tcW w:w="993"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0,0019</w:t>
            </w:r>
          </w:p>
        </w:tc>
        <w:tc>
          <w:tcPr>
            <w:tcW w:w="992" w:type="dxa"/>
          </w:tcPr>
          <w:p w:rsidR="00A82CF9" w:rsidRDefault="00FE1182">
            <w:pPr>
              <w:pStyle w:val="a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0,0014</w:t>
            </w:r>
          </w:p>
        </w:tc>
        <w:tc>
          <w:tcPr>
            <w:tcW w:w="992" w:type="dxa"/>
          </w:tcPr>
          <w:p w:rsidR="00A82CF9" w:rsidRDefault="00FE1182">
            <w:pPr>
              <w:pStyle w:val="a9"/>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0,001</w:t>
            </w:r>
            <w:r>
              <w:rPr>
                <w:rFonts w:ascii="Times New Roman" w:eastAsia="Times New Roman" w:hAnsi="Times New Roman"/>
                <w:color w:val="000000"/>
                <w:sz w:val="24"/>
                <w:szCs w:val="24"/>
                <w:lang w:val="en-US"/>
              </w:rPr>
              <w:t>1</w:t>
            </w:r>
          </w:p>
        </w:tc>
      </w:tr>
      <w:tr w:rsidR="00A82CF9">
        <w:tc>
          <w:tcPr>
            <w:tcW w:w="1699" w:type="dxa"/>
            <w:shd w:val="clear" w:color="auto" w:fill="auto"/>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Хлороводень</w:t>
            </w:r>
          </w:p>
        </w:tc>
        <w:tc>
          <w:tcPr>
            <w:tcW w:w="995" w:type="dxa"/>
            <w:shd w:val="clear" w:color="auto" w:fill="auto"/>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0,0181</w:t>
            </w:r>
          </w:p>
        </w:tc>
        <w:tc>
          <w:tcPr>
            <w:tcW w:w="992" w:type="dxa"/>
            <w:shd w:val="clear" w:color="auto" w:fill="auto"/>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0,0347</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0,032</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0,037</w:t>
            </w:r>
          </w:p>
        </w:tc>
        <w:tc>
          <w:tcPr>
            <w:tcW w:w="993"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0,025</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0,041</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0,045</w:t>
            </w:r>
          </w:p>
        </w:tc>
      </w:tr>
      <w:tr w:rsidR="00A82CF9">
        <w:tc>
          <w:tcPr>
            <w:tcW w:w="1699" w:type="dxa"/>
            <w:shd w:val="clear" w:color="auto" w:fill="auto"/>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Аміак</w:t>
            </w:r>
          </w:p>
        </w:tc>
        <w:tc>
          <w:tcPr>
            <w:tcW w:w="995" w:type="dxa"/>
            <w:shd w:val="clear" w:color="auto" w:fill="auto"/>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0,0068</w:t>
            </w:r>
          </w:p>
        </w:tc>
        <w:tc>
          <w:tcPr>
            <w:tcW w:w="992" w:type="dxa"/>
            <w:shd w:val="clear" w:color="auto" w:fill="auto"/>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0,0067</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0,016</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0,016</w:t>
            </w:r>
          </w:p>
        </w:tc>
        <w:tc>
          <w:tcPr>
            <w:tcW w:w="993"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0,016</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0,0084</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w:t>
            </w:r>
            <w:r>
              <w:rPr>
                <w:rFonts w:ascii="Times New Roman" w:eastAsia="Times New Roman" w:hAnsi="Times New Roman"/>
                <w:sz w:val="24"/>
                <w:szCs w:val="24"/>
                <w:lang w:val="en-US"/>
              </w:rPr>
              <w:t>087</w:t>
            </w:r>
          </w:p>
        </w:tc>
      </w:tr>
      <w:tr w:rsidR="00A82CF9">
        <w:tc>
          <w:tcPr>
            <w:tcW w:w="1699" w:type="dxa"/>
            <w:shd w:val="clear" w:color="auto" w:fill="auto"/>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Формальдегід</w:t>
            </w:r>
          </w:p>
        </w:tc>
        <w:tc>
          <w:tcPr>
            <w:tcW w:w="995" w:type="dxa"/>
            <w:shd w:val="clear" w:color="auto" w:fill="auto"/>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0,0042</w:t>
            </w:r>
          </w:p>
        </w:tc>
        <w:tc>
          <w:tcPr>
            <w:tcW w:w="992" w:type="dxa"/>
            <w:shd w:val="clear" w:color="auto" w:fill="auto"/>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0,0039</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0,0032</w:t>
            </w:r>
          </w:p>
        </w:tc>
        <w:tc>
          <w:tcPr>
            <w:tcW w:w="992" w:type="dxa"/>
          </w:tcPr>
          <w:p w:rsidR="00A82CF9" w:rsidRDefault="00FE1182">
            <w:pPr>
              <w:pStyle w:val="a9"/>
              <w:jc w:val="center"/>
              <w:rPr>
                <w:rFonts w:ascii="Times New Roman" w:hAnsi="Times New Roman"/>
                <w:sz w:val="24"/>
                <w:szCs w:val="24"/>
              </w:rPr>
            </w:pPr>
            <w:r>
              <w:rPr>
                <w:rFonts w:ascii="Times New Roman" w:hAnsi="Times New Roman"/>
                <w:sz w:val="24"/>
                <w:szCs w:val="24"/>
              </w:rPr>
              <w:t>0,0025</w:t>
            </w:r>
          </w:p>
        </w:tc>
        <w:tc>
          <w:tcPr>
            <w:tcW w:w="993"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0,0024</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0,0016</w:t>
            </w:r>
          </w:p>
        </w:tc>
        <w:tc>
          <w:tcPr>
            <w:tcW w:w="992" w:type="dxa"/>
          </w:tcPr>
          <w:p w:rsidR="00A82CF9" w:rsidRDefault="00FE1182">
            <w:pPr>
              <w:pStyle w:val="a9"/>
              <w:jc w:val="center"/>
              <w:rPr>
                <w:rFonts w:ascii="Times New Roman" w:eastAsia="Times New Roman" w:hAnsi="Times New Roman"/>
                <w:sz w:val="24"/>
                <w:szCs w:val="24"/>
              </w:rPr>
            </w:pPr>
            <w:r>
              <w:rPr>
                <w:rFonts w:ascii="Times New Roman" w:eastAsia="Times New Roman" w:hAnsi="Times New Roman"/>
                <w:sz w:val="24"/>
                <w:szCs w:val="24"/>
              </w:rPr>
              <w:t>0,0014</w:t>
            </w:r>
          </w:p>
        </w:tc>
      </w:tr>
    </w:tbl>
    <w:p w:rsidR="00A82CF9" w:rsidRDefault="00A82CF9">
      <w:pPr>
        <w:pStyle w:val="a9"/>
        <w:jc w:val="center"/>
        <w:rPr>
          <w:rFonts w:ascii="Times New Roman" w:hAnsi="Times New Roman"/>
          <w:iCs/>
          <w:sz w:val="24"/>
          <w:szCs w:val="24"/>
          <w:lang w:eastAsia="ru-RU"/>
        </w:rPr>
      </w:pP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За результатами державного моніторингу стану атмосферного повітря у місті  Хмельницькому протягом 2024 року виявлено, що загальний рівень забруднення повітря у місті можна оцінити як помірний. Середньорічні концентрації більшості досліджуваних речовин не перевищували гранично допустимих концентрацій (ГДК), однак спостерігалася тенденція до зростання окремих компонентів – передусім</w:t>
      </w:r>
      <w:r>
        <w:rPr>
          <w:rFonts w:ascii="Times New Roman" w:hAnsi="Times New Roman"/>
          <w:bCs/>
          <w:sz w:val="24"/>
          <w:szCs w:val="24"/>
        </w:rPr>
        <w:t>, оксиду вуглецю,  аміаку;   в окремих пробах спостерігалося перевищення завислих речовин (пилу) та  діоксиду азоту</w:t>
      </w:r>
      <w:r>
        <w:rPr>
          <w:rFonts w:ascii="Times New Roman" w:hAnsi="Times New Roman"/>
          <w:sz w:val="24"/>
          <w:szCs w:val="24"/>
        </w:rPr>
        <w:t xml:space="preserve"> (NO₂). </w:t>
      </w:r>
      <w:r>
        <w:rPr>
          <w:rStyle w:val="a7"/>
          <w:rFonts w:ascii="Times New Roman" w:hAnsi="Times New Roman"/>
          <w:b w:val="0"/>
          <w:sz w:val="24"/>
          <w:szCs w:val="24"/>
        </w:rPr>
        <w:t>Індекс забруднення атмосфери (ІЗА)</w:t>
      </w:r>
      <w:r>
        <w:rPr>
          <w:rFonts w:ascii="Times New Roman" w:hAnsi="Times New Roman"/>
          <w:b/>
          <w:bCs/>
          <w:sz w:val="24"/>
          <w:szCs w:val="24"/>
        </w:rPr>
        <w:t xml:space="preserve"> </w:t>
      </w:r>
      <w:r>
        <w:rPr>
          <w:rFonts w:ascii="Times New Roman" w:hAnsi="Times New Roman"/>
          <w:sz w:val="24"/>
          <w:szCs w:val="24"/>
        </w:rPr>
        <w:t>для м. Хмельницького у 2024 р. дещо зменшився порівняно з 2023 роком і становив 2,85, що відповідає категорії «помірно забруднене повітря» (у 2023 році ІЗА складав 2,87). Найбільший внесок у формування ІЗА мають: діоксид азоту, пилові частинки, частково − оксид вуглецю.</w:t>
      </w:r>
    </w:p>
    <w:p w:rsidR="00A82CF9" w:rsidRDefault="00FE1182">
      <w:pPr>
        <w:pStyle w:val="a9"/>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 xml:space="preserve">Стан радіаційного забруднення атмосферного повітря міста Хмельницького визначається </w:t>
      </w:r>
      <w:r>
        <w:rPr>
          <w:rFonts w:ascii="Times New Roman" w:hAnsi="Times New Roman"/>
          <w:spacing w:val="-4"/>
          <w:sz w:val="24"/>
          <w:szCs w:val="24"/>
        </w:rPr>
        <w:t>Хмельницьким обласним центром з гідрометео</w:t>
      </w:r>
      <w:r>
        <w:rPr>
          <w:rFonts w:ascii="Times New Roman" w:hAnsi="Times New Roman"/>
          <w:sz w:val="24"/>
          <w:szCs w:val="24"/>
        </w:rPr>
        <w:t xml:space="preserve">рології </w:t>
      </w:r>
      <w:r>
        <w:rPr>
          <w:rFonts w:ascii="Times New Roman" w:eastAsia="Times New Roman" w:hAnsi="Times New Roman"/>
          <w:sz w:val="24"/>
          <w:szCs w:val="24"/>
          <w:lang w:eastAsia="ru-RU"/>
        </w:rPr>
        <w:t xml:space="preserve">на постійних постах спостереження. </w:t>
      </w:r>
      <w:r>
        <w:rPr>
          <w:rFonts w:ascii="Times New Roman" w:hAnsi="Times New Roman"/>
          <w:sz w:val="24"/>
          <w:szCs w:val="24"/>
          <w:lang w:eastAsia="ru-RU"/>
        </w:rPr>
        <w:t xml:space="preserve">Середня потужність експозиційної дози гамма-випромінювання у повітрі на території міста у 2024 році становила – 11-12 мкР/год, у 2025- 12-13 мкР/год., </w:t>
      </w:r>
      <w:r>
        <w:rPr>
          <w:rFonts w:ascii="Times New Roman" w:hAnsi="Times New Roman"/>
          <w:sz w:val="24"/>
          <w:szCs w:val="24"/>
        </w:rPr>
        <w:t>що свідчить про стабільний та безпечний радіаційний фон, який перебуває у межах природних значень і не становить ризику для населення.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Основними джерелами шумового забруднення міста Хмельницького є транспортні засоби, промислові підприємства, комунальні об’єкти (зокрема котельні, трансформаторні та компресорні станції), будівельні майданчики, інформаційні та розважальні комплекси, а також зупинки громадського транспорту, обладнані аудіосистемами.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Рівень шумового навантаження на території міста варіює залежно від відстані до транспортних магістралей, інтенсивності руху в години «пікових навантажень», розташування </w:t>
      </w:r>
      <w:r>
        <w:rPr>
          <w:rFonts w:ascii="Times New Roman" w:hAnsi="Times New Roman"/>
          <w:sz w:val="24"/>
          <w:szCs w:val="24"/>
        </w:rPr>
        <w:lastRenderedPageBreak/>
        <w:t>будівельних майданчиків та інших джерел шуму, часу доби, а також наявності зелених насаджень, що виконують захисну функцію.</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Результати визначення шумового навантаження в межах міської громади свідчать, що найвищі рівні шуму створюються автомобільним і залізничним транспортом, показники яких коливаються в межах </w:t>
      </w:r>
      <w:r>
        <w:rPr>
          <w:rStyle w:val="a7"/>
          <w:rFonts w:ascii="Times New Roman" w:eastAsiaTheme="majorEastAsia" w:hAnsi="Times New Roman"/>
          <w:b w:val="0"/>
          <w:sz w:val="24"/>
          <w:szCs w:val="24"/>
        </w:rPr>
        <w:t>72-86 дБ</w:t>
      </w:r>
      <w:r>
        <w:rPr>
          <w:rFonts w:ascii="Times New Roman" w:hAnsi="Times New Roman"/>
          <w:b/>
          <w:sz w:val="24"/>
          <w:szCs w:val="24"/>
        </w:rPr>
        <w:t xml:space="preserve">. </w:t>
      </w:r>
      <w:r>
        <w:rPr>
          <w:rFonts w:ascii="Times New Roman" w:hAnsi="Times New Roman"/>
          <w:sz w:val="24"/>
          <w:szCs w:val="24"/>
        </w:rPr>
        <w:t xml:space="preserve">У селітебній зоні рівень шуму становить </w:t>
      </w:r>
      <w:r>
        <w:rPr>
          <w:rStyle w:val="a7"/>
          <w:rFonts w:ascii="Times New Roman" w:eastAsiaTheme="majorEastAsia" w:hAnsi="Times New Roman"/>
          <w:b w:val="0"/>
          <w:sz w:val="24"/>
          <w:szCs w:val="24"/>
        </w:rPr>
        <w:t>48-63 дБ</w:t>
      </w:r>
      <w:r>
        <w:rPr>
          <w:rFonts w:ascii="Times New Roman" w:hAnsi="Times New Roman"/>
          <w:b/>
          <w:sz w:val="24"/>
          <w:szCs w:val="24"/>
        </w:rPr>
        <w:t>,</w:t>
      </w:r>
      <w:r>
        <w:rPr>
          <w:rFonts w:ascii="Times New Roman" w:hAnsi="Times New Roman"/>
          <w:sz w:val="24"/>
          <w:szCs w:val="24"/>
        </w:rPr>
        <w:t xml:space="preserve"> при цьому максимальні значення спостерігаються поблизу залізничних колій та основних автомобільних магістралей. Перевищення допустимих рівнів фіксується також у зонах активного будівництва.</w:t>
      </w:r>
    </w:p>
    <w:p w:rsidR="00A82CF9" w:rsidRDefault="00FE1182">
      <w:pPr>
        <w:pStyle w:val="a9"/>
        <w:ind w:firstLine="567"/>
        <w:jc w:val="both"/>
        <w:rPr>
          <w:rFonts w:ascii="Times New Roman" w:hAnsi="Times New Roman"/>
          <w:b/>
          <w:sz w:val="24"/>
          <w:szCs w:val="24"/>
        </w:rPr>
      </w:pPr>
      <w:r>
        <w:rPr>
          <w:rFonts w:ascii="Times New Roman" w:hAnsi="Times New Roman"/>
          <w:b/>
          <w:sz w:val="24"/>
          <w:szCs w:val="24"/>
        </w:rPr>
        <w:t>Викиди парникових газів та зміни клімату.</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На сьогодні зміна клімату – це не лише екологічна, а й економічна та соціальна проблеми, які тісно пов’язані з цілями сталого розвитку, умовами дотримання прав  людини, безпечним життям і здоров’ям, станом довкілля.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До основних потенційних негативних наслідків зміни клімату, що можуть проявлятися у Хмельницькій області, належать більшість з таких, що є характерними для України, а саме: посуха; пожежі; підтоплення та затоплення; катастрофічні гідрометеорологічні явища; зменшення площ та порушення видового складу зелених зон.</w:t>
      </w:r>
    </w:p>
    <w:p w:rsidR="00A82CF9" w:rsidRDefault="00FE1182">
      <w:pPr>
        <w:pStyle w:val="a9"/>
        <w:ind w:firstLine="567"/>
        <w:jc w:val="both"/>
        <w:rPr>
          <w:rFonts w:ascii="Times New Roman" w:hAnsi="Times New Roman"/>
          <w:sz w:val="24"/>
          <w:szCs w:val="24"/>
        </w:rPr>
      </w:pPr>
      <w:r>
        <w:rPr>
          <w:rFonts w:ascii="Times New Roman" w:eastAsia="Times New Roman" w:hAnsi="Times New Roman"/>
          <w:sz w:val="24"/>
          <w:szCs w:val="24"/>
          <w:lang w:eastAsia="ru-RU"/>
        </w:rPr>
        <w:t>О</w:t>
      </w:r>
      <w:r>
        <w:rPr>
          <w:rFonts w:ascii="Times New Roman" w:hAnsi="Times New Roman"/>
          <w:sz w:val="24"/>
          <w:szCs w:val="24"/>
        </w:rPr>
        <w:t>дним із суттєвих та небезпечних ризиків, що впливатиме на мешканців Хмельницької міської територіальної громади та навколишнє середовище в цілому, може бути тепловий стрес. Адже значні обсяги штучних поверхонь мають здатність сильно нагріватися та сприяти додатковому локальному підвищенню температури у приземного шару урбанізованих та забудованих територій.  Іншим важливим фактором ризиків є вразливість міських зелених зон. Зменшення їх площ негативно впливатиме на фотосинтетичні та асиміляційні процеси.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Для останніх років характерним для Хмельницької МТГ є значне відхилення сумарних значень опадів від норми, особливо в теплу пору року, коли вони мають зливовий характер. Великі літні зливи нерідко призводять до підтоплень. Останні роки спостерігалось збільшення опадів для м. Хмельницького, зокрема від 554,5 мм у 2020  році до 643 мм у 2024 році. Поряд з дощовими, спостерігались і бездощові періоди, найбільша тривалість яких складала біля двох місяців.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Відповідно до Кіотського протоколу до Рамкової конвенції Організації Об’єднаних Націй про зміну клімату до парникових газів (ПГ) відносяться: діоксид вуглецю (СО</w:t>
      </w:r>
      <w:r>
        <w:rPr>
          <w:rFonts w:ascii="Times New Roman" w:hAnsi="Times New Roman"/>
          <w:sz w:val="24"/>
          <w:szCs w:val="24"/>
          <w:vertAlign w:val="subscript"/>
        </w:rPr>
        <w:t>2</w:t>
      </w:r>
      <w:r>
        <w:rPr>
          <w:rFonts w:ascii="Times New Roman" w:hAnsi="Times New Roman"/>
          <w:sz w:val="24"/>
          <w:szCs w:val="24"/>
        </w:rPr>
        <w:t>), метан (СН</w:t>
      </w:r>
      <w:r>
        <w:rPr>
          <w:rFonts w:ascii="Times New Roman" w:hAnsi="Times New Roman"/>
          <w:sz w:val="24"/>
          <w:szCs w:val="24"/>
          <w:vertAlign w:val="subscript"/>
        </w:rPr>
        <w:t>4</w:t>
      </w:r>
      <w:r>
        <w:rPr>
          <w:rFonts w:ascii="Times New Roman" w:hAnsi="Times New Roman"/>
          <w:sz w:val="24"/>
          <w:szCs w:val="24"/>
        </w:rPr>
        <w:t>), закис азоту (N</w:t>
      </w:r>
      <w:r>
        <w:rPr>
          <w:rFonts w:ascii="Times New Roman" w:hAnsi="Times New Roman"/>
          <w:sz w:val="24"/>
          <w:szCs w:val="24"/>
          <w:vertAlign w:val="subscript"/>
        </w:rPr>
        <w:t>2</w:t>
      </w:r>
      <w:r>
        <w:rPr>
          <w:rFonts w:ascii="Times New Roman" w:hAnsi="Times New Roman"/>
          <w:sz w:val="24"/>
          <w:szCs w:val="24"/>
        </w:rPr>
        <w:t>O), гідрофторвуглеці (ГФВ), перфторвуглеці (ПФВ), гексафторид сірки (SF</w:t>
      </w:r>
      <w:r>
        <w:rPr>
          <w:rFonts w:ascii="Times New Roman" w:hAnsi="Times New Roman"/>
          <w:sz w:val="24"/>
          <w:szCs w:val="24"/>
          <w:vertAlign w:val="subscript"/>
        </w:rPr>
        <w:t>6</w:t>
      </w:r>
      <w:r>
        <w:rPr>
          <w:rFonts w:ascii="Times New Roman" w:hAnsi="Times New Roman"/>
          <w:sz w:val="24"/>
          <w:szCs w:val="24"/>
        </w:rPr>
        <w:t xml:space="preserve">).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За 2024 рік в атмосферне повітря Хмельницької МТР надійшли такі обсяги  парникових газів: діоксиду вуглецю – 181273,043 тонн; закису азоту – 9,997 тонн;  метану – 47,416 тонн; гідрохлорфторвуглеців – 0,001 тонни.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Для зменшення наслідків зміни клімату, потрібно впроваджувати</w:t>
      </w:r>
      <w:r>
        <w:rPr>
          <w:rFonts w:ascii="Times New Roman" w:hAnsi="Times New Roman"/>
          <w:b/>
          <w:sz w:val="24"/>
          <w:szCs w:val="24"/>
        </w:rPr>
        <w:t> </w:t>
      </w:r>
      <w:r>
        <w:rPr>
          <w:rStyle w:val="a7"/>
          <w:rFonts w:ascii="Times New Roman" w:hAnsi="Times New Roman"/>
          <w:b w:val="0"/>
          <w:sz w:val="24"/>
          <w:szCs w:val="24"/>
          <w:shd w:val="clear" w:color="auto" w:fill="FFFFFF"/>
        </w:rPr>
        <w:t>природоорієнтовані рішення</w:t>
      </w:r>
      <w:r>
        <w:rPr>
          <w:rFonts w:ascii="Times New Roman" w:hAnsi="Times New Roman"/>
          <w:b/>
          <w:sz w:val="24"/>
          <w:szCs w:val="24"/>
          <w:shd w:val="clear" w:color="auto" w:fill="FFFFFF"/>
        </w:rPr>
        <w:t xml:space="preserve">  </w:t>
      </w:r>
      <w:r>
        <w:rPr>
          <w:rFonts w:ascii="Times New Roman" w:hAnsi="Times New Roman"/>
          <w:sz w:val="24"/>
          <w:szCs w:val="24"/>
        </w:rPr>
        <w:t xml:space="preserve">– перехід на відновлювальні джерела енергії, розвиток  електротранспорту та велоструктури, озеленення населених пунктів, модернізація виробництв тощо. </w:t>
      </w:r>
      <w:r>
        <w:rPr>
          <w:rFonts w:ascii="Times New Roman" w:hAnsi="Times New Roman"/>
          <w:sz w:val="24"/>
          <w:szCs w:val="24"/>
          <w:shd w:val="clear" w:color="auto" w:fill="FFFFFF"/>
        </w:rPr>
        <w:t>Важливо, щоб мешканці долучалися до озеленення, сортування сміття, енергоефективності та відповідального споживання.</w:t>
      </w:r>
      <w:r>
        <w:rPr>
          <w:rStyle w:val="vkekvd"/>
          <w:rFonts w:ascii="Times New Roman" w:hAnsi="Times New Roman"/>
          <w:sz w:val="24"/>
          <w:szCs w:val="24"/>
          <w:shd w:val="clear" w:color="auto" w:fill="FFFFFF"/>
        </w:rPr>
        <w:t> </w:t>
      </w:r>
      <w:r>
        <w:rPr>
          <w:rFonts w:ascii="Times New Roman" w:hAnsi="Times New Roman"/>
          <w:sz w:val="24"/>
          <w:szCs w:val="24"/>
        </w:rPr>
        <w:t xml:space="preserve">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Покращення якості атмосферного повітря та зменшення викидів є надзвичайно важливими завданнями в сучасних умовах. Одним із шляхів вирішення цієї проблеми є скорочення обсягів промислового виробництва, зменшення споживання газу та вугілля, а також перехід підприємств на енергоощадні режими роботи. Не менш важливим є оновлення автопарку, обмеження експлуатації застарілих транспортних засобів, заборона використання палива низької якості та покращення стану дорожнього покриття, розвиток альтернативної енергетики.</w:t>
      </w:r>
    </w:p>
    <w:p w:rsidR="00A82CF9" w:rsidRDefault="00FE1182">
      <w:pPr>
        <w:pStyle w:val="a9"/>
        <w:ind w:right="-141" w:firstLine="567"/>
        <w:jc w:val="both"/>
        <w:rPr>
          <w:rFonts w:ascii="Times New Roman" w:hAnsi="Times New Roman"/>
          <w:sz w:val="24"/>
          <w:szCs w:val="24"/>
        </w:rPr>
      </w:pPr>
      <w:r>
        <w:rPr>
          <w:rFonts w:ascii="Times New Roman" w:hAnsi="Times New Roman"/>
          <w:sz w:val="24"/>
          <w:szCs w:val="24"/>
        </w:rPr>
        <w:t xml:space="preserve">Для вирішення проблем, пов’язаних із забрудненням атмосферного повітря, необхідні системні заходи в т.ч.:  </w:t>
      </w:r>
    </w:p>
    <w:p w:rsidR="00A82CF9" w:rsidRDefault="00FE1182">
      <w:pPr>
        <w:pStyle w:val="a9"/>
        <w:ind w:right="-141" w:firstLine="567"/>
        <w:jc w:val="both"/>
        <w:rPr>
          <w:rFonts w:ascii="Times New Roman" w:hAnsi="Times New Roman"/>
          <w:sz w:val="24"/>
          <w:szCs w:val="24"/>
        </w:rPr>
      </w:pPr>
      <w:r>
        <w:rPr>
          <w:rFonts w:ascii="Times New Roman" w:hAnsi="Times New Roman"/>
          <w:sz w:val="24"/>
          <w:szCs w:val="24"/>
        </w:rPr>
        <w:t>оновлення рухомого складу муніципального парку новітніми транспортними засобами;</w:t>
      </w:r>
    </w:p>
    <w:p w:rsidR="00A82CF9" w:rsidRDefault="00FE1182">
      <w:pPr>
        <w:pStyle w:val="a9"/>
        <w:ind w:right="-141" w:firstLine="567"/>
        <w:jc w:val="both"/>
        <w:rPr>
          <w:rFonts w:ascii="Times New Roman" w:hAnsi="Times New Roman"/>
          <w:color w:val="000000" w:themeColor="text1"/>
          <w:sz w:val="24"/>
          <w:szCs w:val="24"/>
          <w:shd w:val="clear" w:color="auto" w:fill="FFFFFF"/>
        </w:rPr>
      </w:pPr>
      <w:r>
        <w:rPr>
          <w:rFonts w:ascii="Times New Roman" w:hAnsi="Times New Roman"/>
          <w:sz w:val="24"/>
          <w:szCs w:val="24"/>
        </w:rPr>
        <w:t>м</w:t>
      </w:r>
      <w:r>
        <w:rPr>
          <w:rFonts w:ascii="Times New Roman" w:hAnsi="Times New Roman"/>
          <w:sz w:val="24"/>
          <w:szCs w:val="24"/>
          <w:shd w:val="clear" w:color="auto" w:fill="FFFFFF"/>
        </w:rPr>
        <w:t>одернізація існуючих систем опаленн</w:t>
      </w:r>
      <w:r>
        <w:rPr>
          <w:rFonts w:ascii="Times New Roman" w:hAnsi="Times New Roman"/>
          <w:color w:val="000000" w:themeColor="text1"/>
          <w:sz w:val="24"/>
          <w:szCs w:val="24"/>
          <w:shd w:val="clear" w:color="auto" w:fill="FFFFFF"/>
        </w:rPr>
        <w:t xml:space="preserve">я та модернізація газоочисного устаткування; </w:t>
      </w:r>
    </w:p>
    <w:p w:rsidR="00A82CF9" w:rsidRDefault="00FE1182">
      <w:pPr>
        <w:pStyle w:val="a9"/>
        <w:ind w:right="-141"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збільшення площі зелених насаджень загального користування, озеленення зупинок автотранспорту;</w:t>
      </w:r>
      <w:r>
        <w:rPr>
          <w:rFonts w:ascii="Times New Roman" w:hAnsi="Times New Roman"/>
          <w:color w:val="000000" w:themeColor="text1"/>
          <w:sz w:val="24"/>
          <w:szCs w:val="24"/>
          <w:shd w:val="clear" w:color="auto" w:fill="FFFFFF"/>
        </w:rPr>
        <w:t xml:space="preserve"> </w:t>
      </w:r>
    </w:p>
    <w:p w:rsidR="00A82CF9" w:rsidRDefault="00FE1182">
      <w:pPr>
        <w:pStyle w:val="a9"/>
        <w:ind w:right="-141"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впорядкування руху транспорту на дорогах центральної частини міста;</w:t>
      </w:r>
    </w:p>
    <w:p w:rsidR="00A82CF9" w:rsidRDefault="00FE1182">
      <w:pPr>
        <w:pStyle w:val="a9"/>
        <w:ind w:right="-141"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моніторинг стану атмосферного повітря та інформування населення про його стан.</w:t>
      </w:r>
    </w:p>
    <w:p w:rsidR="00A82CF9" w:rsidRDefault="00A82CF9">
      <w:pPr>
        <w:pStyle w:val="a9"/>
        <w:ind w:right="-141" w:firstLine="567"/>
        <w:jc w:val="both"/>
        <w:rPr>
          <w:rFonts w:ascii="Times New Roman" w:hAnsi="Times New Roman"/>
          <w:sz w:val="24"/>
          <w:szCs w:val="24"/>
          <w:shd w:val="clear" w:color="auto" w:fill="FFFFFF"/>
        </w:rPr>
      </w:pPr>
    </w:p>
    <w:p w:rsidR="00A82CF9" w:rsidRDefault="00A82CF9">
      <w:pPr>
        <w:pStyle w:val="a9"/>
        <w:ind w:right="-141" w:firstLine="567"/>
        <w:jc w:val="both"/>
        <w:rPr>
          <w:rFonts w:ascii="Times New Roman" w:hAnsi="Times New Roman"/>
          <w:sz w:val="24"/>
          <w:szCs w:val="24"/>
          <w:shd w:val="clear" w:color="auto" w:fill="FFFFFF"/>
        </w:rPr>
      </w:pPr>
    </w:p>
    <w:p w:rsidR="00A82CF9" w:rsidRDefault="00A82CF9">
      <w:pPr>
        <w:pStyle w:val="a9"/>
        <w:ind w:right="-141" w:firstLine="567"/>
        <w:jc w:val="both"/>
        <w:rPr>
          <w:rFonts w:ascii="Times New Roman" w:hAnsi="Times New Roman"/>
          <w:sz w:val="24"/>
          <w:szCs w:val="24"/>
          <w:shd w:val="clear" w:color="auto" w:fill="FFFFFF"/>
        </w:rPr>
      </w:pPr>
    </w:p>
    <w:p w:rsidR="00A82CF9" w:rsidRDefault="00A82CF9">
      <w:pPr>
        <w:pStyle w:val="a9"/>
        <w:ind w:right="-141" w:firstLine="567"/>
        <w:jc w:val="both"/>
        <w:rPr>
          <w:rFonts w:ascii="Times New Roman" w:hAnsi="Times New Roman"/>
          <w:sz w:val="24"/>
          <w:szCs w:val="24"/>
          <w:shd w:val="clear" w:color="auto" w:fill="FFFFFF"/>
        </w:rPr>
      </w:pPr>
    </w:p>
    <w:p w:rsidR="00A82CF9" w:rsidRDefault="00A82CF9">
      <w:pPr>
        <w:pStyle w:val="a9"/>
        <w:ind w:right="-141" w:firstLine="567"/>
        <w:jc w:val="both"/>
        <w:rPr>
          <w:rFonts w:ascii="Times New Roman" w:hAnsi="Times New Roman"/>
          <w:b/>
          <w:sz w:val="24"/>
          <w:szCs w:val="24"/>
          <w:shd w:val="clear" w:color="auto" w:fill="FFFFFF"/>
        </w:rPr>
      </w:pPr>
    </w:p>
    <w:p w:rsidR="00A82CF9" w:rsidRDefault="00FE1182">
      <w:pPr>
        <w:pStyle w:val="a9"/>
        <w:ind w:right="-141" w:firstLine="567"/>
        <w:jc w:val="both"/>
        <w:rPr>
          <w:rFonts w:ascii="Times New Roman" w:hAnsi="Times New Roman"/>
          <w:b/>
          <w:sz w:val="24"/>
          <w:szCs w:val="24"/>
        </w:rPr>
      </w:pPr>
      <w:r>
        <w:rPr>
          <w:rFonts w:ascii="Times New Roman" w:hAnsi="Times New Roman"/>
          <w:b/>
          <w:sz w:val="24"/>
          <w:szCs w:val="24"/>
          <w:shd w:val="clear" w:color="auto" w:fill="FFFFFF"/>
        </w:rPr>
        <w:t>2.2.</w:t>
      </w:r>
      <w:r>
        <w:rPr>
          <w:rFonts w:ascii="Times New Roman" w:hAnsi="Times New Roman"/>
          <w:b/>
          <w:sz w:val="24"/>
          <w:szCs w:val="24"/>
        </w:rPr>
        <w:t xml:space="preserve"> Зелені насадження, природно-заповідний фонд та екологічна мережа громади </w:t>
      </w:r>
    </w:p>
    <w:p w:rsidR="00A82CF9" w:rsidRDefault="00A82CF9">
      <w:pPr>
        <w:pStyle w:val="a9"/>
        <w:ind w:right="-141" w:firstLine="567"/>
        <w:jc w:val="both"/>
        <w:rPr>
          <w:rFonts w:ascii="Times New Roman" w:hAnsi="Times New Roman"/>
          <w:b/>
          <w:sz w:val="24"/>
          <w:szCs w:val="24"/>
        </w:rPr>
      </w:pPr>
    </w:p>
    <w:p w:rsidR="00A82CF9" w:rsidRDefault="00FE1182">
      <w:pPr>
        <w:pStyle w:val="a9"/>
        <w:tabs>
          <w:tab w:val="left" w:pos="9498"/>
        </w:tabs>
        <w:ind w:firstLine="567"/>
        <w:jc w:val="both"/>
        <w:rPr>
          <w:rFonts w:ascii="Times New Roman" w:hAnsi="Times New Roman"/>
          <w:sz w:val="24"/>
          <w:szCs w:val="24"/>
        </w:rPr>
      </w:pPr>
      <w:r>
        <w:rPr>
          <w:rFonts w:ascii="Times New Roman" w:hAnsi="Times New Roman"/>
          <w:b/>
          <w:bCs/>
          <w:sz w:val="24"/>
          <w:szCs w:val="24"/>
        </w:rPr>
        <w:t>Зелені насадження.</w:t>
      </w:r>
      <w:r>
        <w:rPr>
          <w:rFonts w:ascii="Times New Roman" w:hAnsi="Times New Roman"/>
          <w:sz w:val="24"/>
          <w:szCs w:val="24"/>
        </w:rPr>
        <w:t xml:space="preserve"> Одним із основних елементів благоустрою населених пунктів є зелені насадження. Крім естетичного, вони мають ще й величезне санітарне значення, захищаючи місто від диму, газів, пилу тощо. Зелений масив приміської зони є резервуаром чистого повітря для населеного пункту. </w:t>
      </w:r>
    </w:p>
    <w:p w:rsidR="00A82CF9" w:rsidRDefault="00FE1182">
      <w:pPr>
        <w:pStyle w:val="a9"/>
        <w:tabs>
          <w:tab w:val="left" w:pos="9498"/>
        </w:tabs>
        <w:ind w:firstLine="567"/>
        <w:jc w:val="both"/>
        <w:rPr>
          <w:rFonts w:ascii="Times New Roman" w:hAnsi="Times New Roman"/>
          <w:sz w:val="24"/>
          <w:szCs w:val="24"/>
        </w:rPr>
      </w:pPr>
      <w:r>
        <w:rPr>
          <w:rFonts w:ascii="Times New Roman" w:hAnsi="Times New Roman"/>
          <w:sz w:val="24"/>
          <w:szCs w:val="24"/>
        </w:rPr>
        <w:t>Парки, сади, алеї і бульвари - це своєрідні легені, які очищають забруднене повітря, створюють сприятливий мікроклімат і оздоровлюють довкілля. Вдале поєднання різних рослин дозволяє значно зменшити шкідливі санітарні фактори урбанізації. Так, насадження дерев, кущів і газонів значно зменшують амплітуду температурних коливань, збільшують у спекотні дні вологість повітря, покращуючи таким чином теплообмін людини і її самопочуття.</w:t>
      </w:r>
    </w:p>
    <w:p w:rsidR="00A82CF9" w:rsidRDefault="00FE1182">
      <w:pPr>
        <w:pStyle w:val="a9"/>
        <w:tabs>
          <w:tab w:val="left" w:pos="9498"/>
        </w:tabs>
        <w:ind w:firstLine="567"/>
        <w:jc w:val="both"/>
        <w:rPr>
          <w:rFonts w:ascii="Times New Roman" w:hAnsi="Times New Roman"/>
          <w:sz w:val="24"/>
          <w:szCs w:val="24"/>
        </w:rPr>
      </w:pPr>
      <w:r>
        <w:rPr>
          <w:rFonts w:ascii="Times New Roman" w:hAnsi="Times New Roman"/>
          <w:sz w:val="24"/>
          <w:szCs w:val="24"/>
        </w:rPr>
        <w:t xml:space="preserve">Рівень благоустрою та озеленення територій – один з показників якості середовища проживання. Від рівня розвитку сфери благоустрою та озеленення громади залежить якість життя мешканців Хмельницйької міської територіальної громади. </w:t>
      </w:r>
    </w:p>
    <w:p w:rsidR="00A82CF9" w:rsidRDefault="00FE1182">
      <w:pPr>
        <w:pStyle w:val="a9"/>
        <w:ind w:right="-141"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До зелених насаджень загального користування відносяться території парків, скверів, бульварів, насаджень на схилах, набережних, лісопарків, лугопарків  тощо, які мають вільний доступ для відпочинку. </w:t>
      </w:r>
    </w:p>
    <w:p w:rsidR="00A82CF9" w:rsidRDefault="00FE1182">
      <w:pPr>
        <w:pStyle w:val="a9"/>
        <w:ind w:firstLine="567"/>
        <w:jc w:val="both"/>
        <w:rPr>
          <w:rFonts w:ascii="Times New Roman" w:hAnsi="Times New Roman"/>
          <w:color w:val="000000"/>
          <w:sz w:val="24"/>
          <w:szCs w:val="24"/>
        </w:rPr>
      </w:pPr>
      <w:r>
        <w:rPr>
          <w:rFonts w:ascii="Times New Roman" w:hAnsi="Times New Roman"/>
          <w:sz w:val="24"/>
          <w:szCs w:val="24"/>
        </w:rPr>
        <w:t>Відповідно до ДБН Б.2.2-12:2019 для м. Хмельницького нормативна потреба в зелених насадженнях загального користування з урахуванням вимог екологічної складової на одного мешканця складає 10,5-11,0 м</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color w:val="000000"/>
          <w:sz w:val="24"/>
          <w:szCs w:val="24"/>
        </w:rPr>
        <w:t>За міжнародними нормами цей показник має бути не менше 20,4 м</w:t>
      </w:r>
      <w:r>
        <w:rPr>
          <w:rFonts w:ascii="Times New Roman" w:hAnsi="Times New Roman"/>
          <w:color w:val="000000"/>
          <w:sz w:val="24"/>
          <w:szCs w:val="24"/>
          <w:vertAlign w:val="superscript"/>
        </w:rPr>
        <w:t>2</w:t>
      </w:r>
      <w:r>
        <w:rPr>
          <w:rFonts w:ascii="Times New Roman" w:hAnsi="Times New Roman"/>
          <w:color w:val="000000"/>
          <w:sz w:val="24"/>
          <w:szCs w:val="24"/>
        </w:rPr>
        <w:t>.</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 2021 по 2025 роки  під парки та сквери  відведено  понад 123,23 га території зелених зон, які передані в постійне користування КП «Парки і сквери міста Хмельницького» та КП по зеленому будівництву і благоустрою міста. З них найбільшу площу займають зелені зони вздовж річки Південний Буг між вулицями Старокостянтинівське шосе та Трудовою – 38,0561 га, вздовж річки Кудрянка в районі вулиць Щедріна та Холодноярців – 55,1292 га та лісопаркова зона між вулицями Степанкова та Болохівською – 26,00 га.</w:t>
      </w:r>
    </w:p>
    <w:p w:rsidR="00A82CF9" w:rsidRDefault="00FE1182">
      <w:pPr>
        <w:pStyle w:val="a9"/>
        <w:ind w:firstLine="567"/>
        <w:jc w:val="both"/>
        <w:rPr>
          <w:rFonts w:ascii="Times New Roman" w:hAnsi="Times New Roman"/>
          <w:sz w:val="24"/>
          <w:szCs w:val="24"/>
        </w:rPr>
      </w:pPr>
      <w:r>
        <w:rPr>
          <w:rFonts w:ascii="Times New Roman" w:hAnsi="Times New Roman"/>
          <w:sz w:val="24"/>
          <w:szCs w:val="24"/>
          <w:shd w:val="clear" w:color="auto" w:fill="FFFFFF"/>
        </w:rPr>
        <w:t>Останніми роками стан зелених насаджень у місті погіршується через</w:t>
      </w:r>
      <w:r>
        <w:rPr>
          <w:rFonts w:ascii="Times New Roman" w:hAnsi="Times New Roman"/>
          <w:b/>
          <w:sz w:val="24"/>
          <w:szCs w:val="24"/>
          <w:shd w:val="clear" w:color="auto" w:fill="FFFFFF"/>
        </w:rPr>
        <w:t> </w:t>
      </w:r>
      <w:r>
        <w:rPr>
          <w:rStyle w:val="a7"/>
          <w:rFonts w:ascii="Times New Roman" w:hAnsi="Times New Roman"/>
          <w:b w:val="0"/>
          <w:sz w:val="24"/>
          <w:szCs w:val="24"/>
          <w:shd w:val="clear" w:color="auto" w:fill="FFFFFF"/>
        </w:rPr>
        <w:t>«ущільнювальну забудову»</w:t>
      </w:r>
      <w:r>
        <w:rPr>
          <w:rFonts w:ascii="Times New Roman" w:hAnsi="Times New Roman"/>
          <w:sz w:val="24"/>
          <w:szCs w:val="24"/>
          <w:shd w:val="clear" w:color="auto" w:fill="FFFFFF"/>
        </w:rPr>
        <w:t>, що знищує зелені зони, </w:t>
      </w:r>
      <w:r>
        <w:rPr>
          <w:rStyle w:val="a7"/>
          <w:rFonts w:ascii="Times New Roman" w:hAnsi="Times New Roman"/>
          <w:b w:val="0"/>
          <w:sz w:val="24"/>
          <w:szCs w:val="24"/>
          <w:shd w:val="clear" w:color="auto" w:fill="FFFFFF"/>
        </w:rPr>
        <w:t>недостатній догляд (відсутність відповідної техніки,  фахового персоналу, фінасування)</w:t>
      </w:r>
      <w:r>
        <w:rPr>
          <w:rFonts w:ascii="Times New Roman" w:hAnsi="Times New Roman"/>
          <w:b/>
          <w:sz w:val="24"/>
          <w:szCs w:val="24"/>
          <w:shd w:val="clear" w:color="auto" w:fill="FFFFFF"/>
        </w:rPr>
        <w:t>,  </w:t>
      </w:r>
      <w:r>
        <w:rPr>
          <w:rStyle w:val="a7"/>
          <w:rFonts w:ascii="Times New Roman" w:hAnsi="Times New Roman"/>
          <w:b w:val="0"/>
          <w:sz w:val="24"/>
          <w:szCs w:val="24"/>
          <w:shd w:val="clear" w:color="auto" w:fill="FFFFFF"/>
        </w:rPr>
        <w:t>забруднення повітря</w:t>
      </w:r>
      <w:r>
        <w:rPr>
          <w:rFonts w:ascii="Times New Roman" w:hAnsi="Times New Roman"/>
          <w:sz w:val="24"/>
          <w:szCs w:val="24"/>
          <w:shd w:val="clear" w:color="auto" w:fill="FFFFFF"/>
        </w:rPr>
        <w:t xml:space="preserve"> від промисловості та транспорту, а також , хвороби дерев  та нездатності їх виконувати екологічні функції.</w:t>
      </w:r>
      <w:r>
        <w:rPr>
          <w:rStyle w:val="vkekvd"/>
          <w:rFonts w:ascii="Times New Roman" w:hAnsi="Times New Roman"/>
          <w:sz w:val="24"/>
          <w:szCs w:val="24"/>
          <w:shd w:val="clear" w:color="auto" w:fill="FFFFFF"/>
        </w:rPr>
        <w:t>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У зелених насадженнях Хмельницької територіальної громади спостерігається більш раннє пожовтіння і опадання листя деревних рослин у порівнянні з природними екотопами. Особливої уваги потребують гіркокаштани звичайні, які</w:t>
      </w:r>
      <w:r>
        <w:rPr>
          <w:rFonts w:ascii="Times New Roman" w:hAnsi="Times New Roman"/>
          <w:color w:val="FF0000"/>
          <w:sz w:val="24"/>
          <w:szCs w:val="24"/>
        </w:rPr>
        <w:t xml:space="preserve"> </w:t>
      </w:r>
      <w:r>
        <w:rPr>
          <w:rFonts w:ascii="Times New Roman" w:hAnsi="Times New Roman"/>
          <w:sz w:val="24"/>
          <w:szCs w:val="24"/>
        </w:rPr>
        <w:t xml:space="preserve">уражені </w:t>
      </w:r>
      <w:r>
        <w:rPr>
          <w:rFonts w:ascii="Times New Roman" w:hAnsi="Times New Roman"/>
          <w:bCs/>
          <w:sz w:val="24"/>
          <w:szCs w:val="24"/>
          <w:shd w:val="clear" w:color="auto" w:fill="FFFFFF"/>
        </w:rPr>
        <w:t xml:space="preserve">каштановою </w:t>
      </w:r>
      <w:r>
        <w:rPr>
          <w:rFonts w:ascii="Times New Roman" w:hAnsi="Times New Roman"/>
          <w:sz w:val="24"/>
          <w:szCs w:val="24"/>
        </w:rPr>
        <w:t xml:space="preserve">мінуючою міллю ‒ інвазійним видом, який спричиняє раннє опадання листя, зменшення кількості плодів.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Загрозливого характеру набуло поширення напівпаразита омели білої</w:t>
      </w:r>
      <w:r>
        <w:rPr>
          <w:rFonts w:ascii="Times New Roman" w:hAnsi="Times New Roman"/>
          <w:i/>
          <w:sz w:val="24"/>
          <w:szCs w:val="24"/>
        </w:rPr>
        <w:t xml:space="preserve"> </w:t>
      </w:r>
      <w:r>
        <w:rPr>
          <w:rFonts w:ascii="Times New Roman" w:hAnsi="Times New Roman"/>
          <w:sz w:val="24"/>
          <w:szCs w:val="24"/>
        </w:rPr>
        <w:t>на деревах багатьох вулиць міста Хмельницького. Трапляється переважно на листяних породах дерев, особливо сильно вражені омелою білою тополя дельтовидна, клен гостролистий, липа серцелиста. Особливої уваги потребують декоративні насадження, що  створені з самшиту вічнозеленого, на пагонах якого спостерігається спалах небезпечного шкідника – вогнівки самшитової.</w:t>
      </w:r>
    </w:p>
    <w:p w:rsidR="00A82CF9" w:rsidRDefault="00FE1182">
      <w:pPr>
        <w:pStyle w:val="a9"/>
        <w:ind w:firstLine="567"/>
        <w:jc w:val="both"/>
        <w:rPr>
          <w:rFonts w:ascii="Times New Roman" w:hAnsi="Times New Roman"/>
          <w:sz w:val="24"/>
          <w:szCs w:val="24"/>
        </w:rPr>
      </w:pPr>
      <w:r>
        <w:rPr>
          <w:rFonts w:ascii="Times New Roman" w:hAnsi="Times New Roman"/>
          <w:sz w:val="24"/>
          <w:szCs w:val="24"/>
          <w:shd w:val="clear" w:color="auto" w:fill="FFFFFF"/>
        </w:rPr>
        <w:t xml:space="preserve">Протягом 2025 року </w:t>
      </w:r>
      <w:r>
        <w:rPr>
          <w:rFonts w:ascii="Times New Roman" w:hAnsi="Times New Roman"/>
          <w:sz w:val="24"/>
          <w:szCs w:val="24"/>
        </w:rPr>
        <w:t>проведено роботи із знищення борщівника Сосновського (площею 96,5 тис. м</w:t>
      </w:r>
      <w:r>
        <w:rPr>
          <w:rFonts w:ascii="Times New Roman" w:hAnsi="Times New Roman"/>
          <w:sz w:val="24"/>
          <w:szCs w:val="24"/>
          <w:vertAlign w:val="superscript"/>
        </w:rPr>
        <w:t>2</w:t>
      </w:r>
      <w:r>
        <w:rPr>
          <w:rFonts w:ascii="Times New Roman" w:hAnsi="Times New Roman"/>
          <w:sz w:val="24"/>
          <w:szCs w:val="24"/>
        </w:rPr>
        <w:t>), видалення окремих засохлих та пошкоджених дерев (88 дерев), видалення омели (56 дерев), розчистки ділянки від самосіву (4,8 тис. м</w:t>
      </w:r>
      <w:r>
        <w:rPr>
          <w:rFonts w:ascii="Times New Roman" w:hAnsi="Times New Roman"/>
          <w:sz w:val="24"/>
          <w:szCs w:val="24"/>
          <w:vertAlign w:val="superscript"/>
        </w:rPr>
        <w:t>2</w:t>
      </w:r>
      <w:r>
        <w:rPr>
          <w:rFonts w:ascii="Times New Roman" w:hAnsi="Times New Roman"/>
          <w:sz w:val="24"/>
          <w:szCs w:val="24"/>
        </w:rPr>
        <w:t>), аварійних засохлих дерев у заплаві р. Південний Буг від вул. Свободи до вул. Старокостянтинівське шосе (права сторона) тощо.</w:t>
      </w:r>
    </w:p>
    <w:p w:rsidR="00A82CF9" w:rsidRDefault="00A82CF9">
      <w:pPr>
        <w:pStyle w:val="a9"/>
        <w:ind w:firstLine="567"/>
        <w:jc w:val="both"/>
        <w:rPr>
          <w:rFonts w:ascii="Times New Roman" w:hAnsi="Times New Roman"/>
          <w:b/>
          <w:sz w:val="24"/>
          <w:szCs w:val="24"/>
        </w:rPr>
      </w:pPr>
    </w:p>
    <w:p w:rsidR="00A82CF9" w:rsidRDefault="00FE1182">
      <w:pPr>
        <w:pStyle w:val="a9"/>
        <w:ind w:firstLine="567"/>
        <w:jc w:val="both"/>
        <w:rPr>
          <w:rFonts w:ascii="Times New Roman" w:hAnsi="Times New Roman"/>
          <w:sz w:val="24"/>
          <w:szCs w:val="24"/>
          <w:shd w:val="clear" w:color="auto" w:fill="FFFFFF"/>
        </w:rPr>
      </w:pPr>
      <w:r>
        <w:rPr>
          <w:rFonts w:ascii="Times New Roman" w:hAnsi="Times New Roman"/>
          <w:b/>
          <w:sz w:val="24"/>
          <w:szCs w:val="24"/>
        </w:rPr>
        <w:t>Природно-заповідний фонд.</w:t>
      </w:r>
      <w:r>
        <w:rPr>
          <w:rFonts w:ascii="Times New Roman" w:hAnsi="Times New Roman"/>
          <w:sz w:val="24"/>
          <w:szCs w:val="24"/>
        </w:rPr>
        <w:t xml:space="preserve"> Станом на 1.01.2025 р. природно-заповідний фонд (ПЗФ) Хмельницької міської територіальної громади нараховує 31 природно-заповідну територію та об’єкт. Найбільша їх кількість (23 одиниці) розташована у межах м. Хмельницького. Загальна площа ПЗФ м. Хмельницького складає 191,7658 га (2,07 % від площі міста, 1,5 % від площі громади).</w:t>
      </w:r>
      <w:r>
        <w:rPr>
          <w:rFonts w:ascii="Times New Roman" w:hAnsi="Times New Roman"/>
          <w:sz w:val="24"/>
          <w:szCs w:val="24"/>
          <w:shd w:val="clear" w:color="auto" w:fill="FFFFFF"/>
        </w:rPr>
        <w:t xml:space="preserve"> До складу природно-заповідного фонду Хмельницької територіальної громади увійшли й природно-заповідні території та об’єкти прилеглих сіл.</w:t>
      </w:r>
    </w:p>
    <w:p w:rsidR="00A82CF9" w:rsidRDefault="00A82CF9">
      <w:pPr>
        <w:pStyle w:val="a9"/>
        <w:ind w:firstLine="567"/>
        <w:jc w:val="both"/>
        <w:rPr>
          <w:rFonts w:ascii="Times New Roman" w:hAnsi="Times New Roman"/>
          <w:sz w:val="24"/>
          <w:szCs w:val="24"/>
        </w:rPr>
      </w:pPr>
    </w:p>
    <w:p w:rsidR="00A82CF9" w:rsidRDefault="00FE1182">
      <w:pPr>
        <w:jc w:val="center"/>
        <w:rPr>
          <w:rFonts w:ascii="Times New Roman" w:hAnsi="Times New Roman" w:cs="Times New Roman"/>
          <w:b/>
          <w:sz w:val="24"/>
          <w:szCs w:val="24"/>
        </w:rPr>
      </w:pPr>
      <w:r>
        <w:rPr>
          <w:rFonts w:ascii="Times New Roman" w:hAnsi="Times New Roman" w:cs="Times New Roman"/>
          <w:b/>
          <w:sz w:val="24"/>
          <w:szCs w:val="24"/>
        </w:rPr>
        <w:t xml:space="preserve">Об’єкти природно-заповідного фонду Хмельницької міської територіальної громади </w:t>
      </w:r>
    </w:p>
    <w:tbl>
      <w:tblPr>
        <w:tblStyle w:val="a8"/>
        <w:tblW w:w="9493" w:type="dxa"/>
        <w:tblLayout w:type="fixed"/>
        <w:tblLook w:val="04A0" w:firstRow="1" w:lastRow="0" w:firstColumn="1" w:lastColumn="0" w:noHBand="0" w:noVBand="1"/>
      </w:tblPr>
      <w:tblGrid>
        <w:gridCol w:w="479"/>
        <w:gridCol w:w="2777"/>
        <w:gridCol w:w="2835"/>
        <w:gridCol w:w="992"/>
        <w:gridCol w:w="2410"/>
      </w:tblGrid>
      <w:tr w:rsidR="00A82CF9">
        <w:tc>
          <w:tcPr>
            <w:tcW w:w="479" w:type="dxa"/>
          </w:tcPr>
          <w:p w:rsidR="00A82CF9" w:rsidRDefault="00FE1182">
            <w:pPr>
              <w:spacing w:after="0" w:line="240" w:lineRule="auto"/>
              <w:rPr>
                <w:rFonts w:ascii="Times New Roman" w:hAnsi="Times New Roman" w:cs="Times New Roman"/>
                <w:b/>
                <w:sz w:val="20"/>
                <w:szCs w:val="20"/>
              </w:rPr>
            </w:pPr>
            <w:r>
              <w:rPr>
                <w:rFonts w:ascii="Times New Roman" w:hAnsi="Times New Roman" w:cs="Times New Roman"/>
                <w:b/>
                <w:sz w:val="20"/>
                <w:szCs w:val="20"/>
              </w:rPr>
              <w:t>№</w:t>
            </w:r>
          </w:p>
          <w:p w:rsidR="00A82CF9" w:rsidRDefault="00FE1182">
            <w:pPr>
              <w:spacing w:after="0" w:line="240" w:lineRule="auto"/>
              <w:rPr>
                <w:rFonts w:ascii="Times New Roman" w:hAnsi="Times New Roman" w:cs="Times New Roman"/>
                <w:b/>
                <w:sz w:val="20"/>
                <w:szCs w:val="20"/>
              </w:rPr>
            </w:pPr>
            <w:r>
              <w:rPr>
                <w:rFonts w:ascii="Times New Roman" w:hAnsi="Times New Roman" w:cs="Times New Roman"/>
                <w:b/>
                <w:sz w:val="20"/>
                <w:szCs w:val="20"/>
              </w:rPr>
              <w:t>з/п</w:t>
            </w:r>
          </w:p>
        </w:tc>
        <w:tc>
          <w:tcPr>
            <w:tcW w:w="2777" w:type="dxa"/>
          </w:tcPr>
          <w:p w:rsidR="00A82CF9" w:rsidRDefault="00FE1182">
            <w:pPr>
              <w:spacing w:after="0" w:line="240" w:lineRule="auto"/>
              <w:rPr>
                <w:rFonts w:ascii="Times New Roman" w:hAnsi="Times New Roman" w:cs="Times New Roman"/>
                <w:b/>
                <w:sz w:val="20"/>
                <w:szCs w:val="20"/>
              </w:rPr>
            </w:pPr>
            <w:r>
              <w:rPr>
                <w:rFonts w:ascii="Times New Roman" w:hAnsi="Times New Roman" w:cs="Times New Roman"/>
                <w:b/>
                <w:sz w:val="20"/>
                <w:szCs w:val="20"/>
              </w:rPr>
              <w:t>назва</w:t>
            </w:r>
          </w:p>
        </w:tc>
        <w:tc>
          <w:tcPr>
            <w:tcW w:w="2835" w:type="dxa"/>
          </w:tcPr>
          <w:p w:rsidR="00A82CF9" w:rsidRDefault="00FE1182">
            <w:pPr>
              <w:spacing w:after="0" w:line="240" w:lineRule="auto"/>
              <w:rPr>
                <w:rFonts w:ascii="Times New Roman" w:hAnsi="Times New Roman" w:cs="Times New Roman"/>
                <w:b/>
                <w:sz w:val="20"/>
                <w:szCs w:val="20"/>
              </w:rPr>
            </w:pPr>
            <w:r>
              <w:rPr>
                <w:rFonts w:ascii="Times New Roman" w:hAnsi="Times New Roman" w:cs="Times New Roman"/>
                <w:b/>
                <w:sz w:val="20"/>
                <w:szCs w:val="20"/>
              </w:rPr>
              <w:t>тип</w:t>
            </w:r>
          </w:p>
        </w:tc>
        <w:tc>
          <w:tcPr>
            <w:tcW w:w="992" w:type="dxa"/>
          </w:tcPr>
          <w:p w:rsidR="00A82CF9" w:rsidRDefault="00FE1182">
            <w:pPr>
              <w:spacing w:after="0" w:line="240" w:lineRule="auto"/>
              <w:rPr>
                <w:rFonts w:ascii="Times New Roman" w:hAnsi="Times New Roman" w:cs="Times New Roman"/>
                <w:b/>
                <w:sz w:val="20"/>
                <w:szCs w:val="20"/>
              </w:rPr>
            </w:pPr>
            <w:r>
              <w:rPr>
                <w:rFonts w:ascii="Times New Roman" w:hAnsi="Times New Roman" w:cs="Times New Roman"/>
                <w:b/>
                <w:sz w:val="20"/>
                <w:szCs w:val="20"/>
              </w:rPr>
              <w:t>Площа, га</w:t>
            </w:r>
          </w:p>
        </w:tc>
        <w:tc>
          <w:tcPr>
            <w:tcW w:w="2410" w:type="dxa"/>
          </w:tcPr>
          <w:p w:rsidR="00A82CF9" w:rsidRDefault="00FE1182">
            <w:pPr>
              <w:spacing w:after="0" w:line="240" w:lineRule="auto"/>
              <w:rPr>
                <w:rFonts w:ascii="Times New Roman" w:hAnsi="Times New Roman" w:cs="Times New Roman"/>
                <w:b/>
                <w:sz w:val="20"/>
                <w:szCs w:val="20"/>
              </w:rPr>
            </w:pPr>
            <w:r>
              <w:rPr>
                <w:rFonts w:ascii="Times New Roman" w:hAnsi="Times New Roman" w:cs="Times New Roman"/>
                <w:b/>
                <w:sz w:val="20"/>
                <w:szCs w:val="20"/>
              </w:rPr>
              <w:t>Місце  розташування</w:t>
            </w:r>
          </w:p>
          <w:p w:rsidR="00A82CF9" w:rsidRDefault="00FE1182">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території чи об`єкту ПЗФ</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Липа звичайна</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Ботанічна</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пам'ятка природи</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0,02</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вул. Грушевського, 64</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Алея каштана кінського</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Ботанічна</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пам'ятка природи</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вул.Чорновола,24</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Бук червоний</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Ботанічна</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пам'ятка природи</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вул. Героїв Маріуполя (Гагаріна), 5</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Бук червоний</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Ботанічна</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пам'ятка природи</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вул. Героїв Майдану, 24</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Горіх чорний</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Ботанічна</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пам'ятка природи</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0,02</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вул. Пилипчука, 5</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Парк ім. Чекмана</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парк-пам'ятка садово-</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паркового мистецтва</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140,45</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вул. Проскурівського підпілля</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Парк Заріччя</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парк-пам'ятка садово-</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паркового мистецтва</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4,3</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обмежений вулицями </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Свободи, Зарічанська,</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Перемоги, Проспект Миру</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сквер ім. Т .Г. Шевченка</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парк-пам'ятка садово-паркового мистецтва</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4,7</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вул. Грушевського</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9</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Дендропарк Поділля</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дендропарк</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36,3295</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на перетині вул. Проспект Миру</w:t>
            </w:r>
          </w:p>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та Старокостянтинівське шосе</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2777"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Ботанічний сад Хмельницького національного університету</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ботанічний сад</w:t>
            </w:r>
          </w:p>
        </w:tc>
        <w:tc>
          <w:tcPr>
            <w:tcW w:w="992"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2,21</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вул. Інститутська,11</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Дендрологічний парк «Юннатівський»</w:t>
            </w:r>
          </w:p>
        </w:tc>
        <w:tc>
          <w:tcPr>
            <w:tcW w:w="2835"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дендропарк</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2,06</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пров. Шкільний, 8</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«Сад Григорія Сковороди»</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 xml:space="preserve">Ботанічна пам’ятка природи </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0,1914</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Ярослава Мудрого, 2</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«Сквер імені Кузьми Скрябіна»</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0,0833</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Гагаріна,</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території Хмельницької обласної філармонії</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«Сквер імені Володимира Івасюка»</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0,1907</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Кам’янецька,</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(між будівлею Хмельницької обласної філармонії та                                    вул. Кам’янецькою)</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«Сквер пам’яті героїв та жертв Чорнобиля»</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0,2981</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Кам’янецька, 1</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розі вулиць Прибузької та Кам’янецької біля пам’ятника «Героїв та жертв Чорнобиля»)</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«Сквер слави»</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0,3438</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вул. Кам’янецька, </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 вул. Кам’янецькій, 111 та вул. Сковороди та Кам’янецькою)</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«Прибузькі сосни»</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0,025</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Кам</w:t>
            </w:r>
            <w:r>
              <w:rPr>
                <w:rFonts w:ascii="Times New Roman" w:hAnsi="Times New Roman" w:cs="Times New Roman"/>
                <w:color w:val="000000"/>
                <w:sz w:val="20"/>
                <w:szCs w:val="20"/>
              </w:rPr>
              <w:t>’</w:t>
            </w:r>
            <w:r>
              <w:rPr>
                <w:rFonts w:ascii="Times New Roman" w:hAnsi="Times New Roman" w:cs="Times New Roman"/>
                <w:sz w:val="20"/>
                <w:szCs w:val="20"/>
              </w:rPr>
              <w:t>янецька, 2</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«Бук на Володимирській»</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Володимирська, 74</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«Тисячі сердець»</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Володимирська, 85</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«Відгомін віків»</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Петра Болбочана, 6</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«Клен  театральний»</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Вул. Соборна, 60 (перед входом до Хмельницького обласного академічного музично-драматичного театру </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ім. М. Старицького)  </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«Два платани»</w:t>
            </w:r>
          </w:p>
        </w:tc>
        <w:tc>
          <w:tcPr>
            <w:tcW w:w="2835"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Старокостянтинівське шосе,</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(між буд. 12а та 14/1)</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«Сосни Чорні»</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Ботанічна пам’ятка природи</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w:t>
            </w:r>
          </w:p>
        </w:tc>
        <w:tc>
          <w:tcPr>
            <w:tcW w:w="2410"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вул. Пушкіна, 11,13</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 Хмельницький</w:t>
            </w:r>
          </w:p>
        </w:tc>
      </w:tr>
      <w:tr w:rsidR="00A82CF9">
        <w:tc>
          <w:tcPr>
            <w:tcW w:w="479" w:type="dxa"/>
          </w:tcPr>
          <w:p w:rsidR="00A82CF9" w:rsidRDefault="00A82CF9">
            <w:pPr>
              <w:spacing w:after="0" w:line="240" w:lineRule="auto"/>
              <w:rPr>
                <w:rFonts w:ascii="Times New Roman" w:hAnsi="Times New Roman" w:cs="Times New Roman"/>
                <w:sz w:val="20"/>
                <w:szCs w:val="20"/>
              </w:rPr>
            </w:pPr>
          </w:p>
        </w:tc>
        <w:tc>
          <w:tcPr>
            <w:tcW w:w="5612" w:type="dxa"/>
            <w:gridSpan w:val="2"/>
            <w:vAlign w:val="center"/>
          </w:tcPr>
          <w:p w:rsidR="00A82CF9" w:rsidRDefault="00A82CF9">
            <w:pPr>
              <w:spacing w:after="0" w:line="240" w:lineRule="auto"/>
              <w:jc w:val="center"/>
              <w:rPr>
                <w:rFonts w:ascii="Times New Roman" w:hAnsi="Times New Roman" w:cs="Times New Roman"/>
                <w:color w:val="000000"/>
                <w:sz w:val="20"/>
                <w:szCs w:val="20"/>
              </w:rPr>
            </w:pPr>
          </w:p>
        </w:tc>
        <w:tc>
          <w:tcPr>
            <w:tcW w:w="992" w:type="dxa"/>
            <w:vAlign w:val="center"/>
          </w:tcPr>
          <w:p w:rsidR="00A82CF9" w:rsidRDefault="00FE118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191,7658 га</w:t>
            </w:r>
          </w:p>
        </w:tc>
        <w:tc>
          <w:tcPr>
            <w:tcW w:w="2410" w:type="dxa"/>
            <w:vAlign w:val="center"/>
          </w:tcPr>
          <w:p w:rsidR="00A82CF9" w:rsidRDefault="00A82CF9">
            <w:pPr>
              <w:spacing w:after="0" w:line="240" w:lineRule="auto"/>
              <w:jc w:val="center"/>
              <w:rPr>
                <w:rFonts w:ascii="Times New Roman" w:hAnsi="Times New Roman" w:cs="Times New Roman"/>
                <w:sz w:val="20"/>
                <w:szCs w:val="20"/>
              </w:rPr>
            </w:pP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Style w:val="a7"/>
                <w:rFonts w:ascii="Times New Roman" w:hAnsi="Times New Roman" w:cs="Times New Roman"/>
                <w:b w:val="0"/>
                <w:sz w:val="20"/>
                <w:szCs w:val="20"/>
              </w:rPr>
              <w:t>Парк ім. С. Мацишина</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Style w:val="a7"/>
                <w:rFonts w:ascii="Times New Roman" w:hAnsi="Times New Roman" w:cs="Times New Roman"/>
                <w:b w:val="0"/>
                <w:sz w:val="20"/>
                <w:szCs w:val="20"/>
              </w:rPr>
              <w:t>Парк – пам’ятка садово-паркового мистецтва</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2410" w:type="dxa"/>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 км.  від  с.Пирогівці</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Style w:val="a7"/>
                <w:rFonts w:ascii="Times New Roman" w:hAnsi="Times New Roman" w:cs="Times New Roman"/>
                <w:b w:val="0"/>
                <w:sz w:val="20"/>
                <w:szCs w:val="20"/>
              </w:rPr>
              <w:t>Лісовий заказник «Давидковецький»</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Style w:val="a7"/>
                <w:rFonts w:ascii="Times New Roman" w:hAnsi="Times New Roman" w:cs="Times New Roman"/>
                <w:b w:val="0"/>
                <w:sz w:val="20"/>
                <w:szCs w:val="20"/>
              </w:rPr>
              <w:t>Лісовий заказник</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506,0</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кв.кв. 28-34 Хмельницького лісництва ДП «Хмельницьке лісомисливське господарство» </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2777" w:type="dxa"/>
            <w:vAlign w:val="center"/>
          </w:tcPr>
          <w:p w:rsidR="00A82CF9" w:rsidRDefault="00FE1182">
            <w:pPr>
              <w:spacing w:after="0" w:line="240" w:lineRule="auto"/>
              <w:jc w:val="center"/>
              <w:rPr>
                <w:rFonts w:ascii="Times New Roman" w:hAnsi="Times New Roman" w:cs="Times New Roman"/>
                <w:color w:val="000000"/>
                <w:sz w:val="20"/>
                <w:szCs w:val="20"/>
              </w:rPr>
            </w:pPr>
            <w:r>
              <w:rPr>
                <w:rStyle w:val="a7"/>
                <w:rFonts w:ascii="Times New Roman" w:hAnsi="Times New Roman" w:cs="Times New Roman"/>
                <w:b w:val="0"/>
                <w:sz w:val="20"/>
                <w:szCs w:val="20"/>
              </w:rPr>
              <w:t>Гідрологічний заказник «Вовчанський»</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Style w:val="a7"/>
                <w:rFonts w:ascii="Times New Roman" w:hAnsi="Times New Roman" w:cs="Times New Roman"/>
                <w:b w:val="0"/>
                <w:sz w:val="20"/>
                <w:szCs w:val="20"/>
              </w:rPr>
              <w:t>Гідрологічний заказник</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173,9</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(загальна площа 1629,5)</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Заплава річки Вовк</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27</w:t>
            </w:r>
          </w:p>
        </w:tc>
        <w:tc>
          <w:tcPr>
            <w:tcW w:w="2777" w:type="dxa"/>
            <w:vAlign w:val="center"/>
          </w:tcPr>
          <w:p w:rsidR="00A82CF9" w:rsidRDefault="00FE1182">
            <w:pPr>
              <w:spacing w:after="0" w:line="240" w:lineRule="auto"/>
              <w:jc w:val="center"/>
              <w:rPr>
                <w:rStyle w:val="a7"/>
                <w:rFonts w:ascii="Times New Roman" w:hAnsi="Times New Roman" w:cs="Times New Roman"/>
                <w:b w:val="0"/>
                <w:sz w:val="20"/>
                <w:szCs w:val="20"/>
              </w:rPr>
            </w:pPr>
            <w:r>
              <w:rPr>
                <w:rFonts w:ascii="Times New Roman" w:hAnsi="Times New Roman" w:cs="Times New Roman"/>
                <w:sz w:val="20"/>
                <w:szCs w:val="20"/>
              </w:rPr>
              <w:t>Бахматовецька колонія сірої чаплі</w:t>
            </w:r>
          </w:p>
        </w:tc>
        <w:tc>
          <w:tcPr>
            <w:tcW w:w="2835" w:type="dxa"/>
            <w:vAlign w:val="center"/>
          </w:tcPr>
          <w:p w:rsidR="00A82CF9" w:rsidRDefault="00FE1182">
            <w:pPr>
              <w:spacing w:after="0" w:line="240" w:lineRule="auto"/>
              <w:jc w:val="center"/>
              <w:rPr>
                <w:rStyle w:val="a7"/>
                <w:rFonts w:ascii="Times New Roman" w:hAnsi="Times New Roman" w:cs="Times New Roman"/>
                <w:b w:val="0"/>
                <w:sz w:val="20"/>
                <w:szCs w:val="20"/>
              </w:rPr>
            </w:pPr>
            <w:r>
              <w:rPr>
                <w:rStyle w:val="a7"/>
                <w:rFonts w:ascii="Times New Roman" w:hAnsi="Times New Roman" w:cs="Times New Roman"/>
                <w:b w:val="0"/>
                <w:sz w:val="20"/>
                <w:szCs w:val="20"/>
              </w:rPr>
              <w:t>Зоологічна пам’ятка природи місцевого значення</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квартал 16 виділів 4-5 Прибузького лісництва філії «Хмельницьке лісомисливське господарство» ДП «Ліси України»</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28</w:t>
            </w:r>
          </w:p>
        </w:tc>
        <w:tc>
          <w:tcPr>
            <w:tcW w:w="2777" w:type="dxa"/>
            <w:vAlign w:val="center"/>
          </w:tcPr>
          <w:p w:rsidR="00A82CF9" w:rsidRDefault="00FE1182">
            <w:pPr>
              <w:spacing w:after="0" w:line="240" w:lineRule="auto"/>
              <w:jc w:val="center"/>
              <w:rPr>
                <w:rFonts w:ascii="Times New Roman" w:hAnsi="Times New Roman" w:cs="Times New Roman"/>
                <w:b/>
                <w:sz w:val="20"/>
                <w:szCs w:val="20"/>
              </w:rPr>
            </w:pPr>
            <w:r>
              <w:rPr>
                <w:rStyle w:val="a7"/>
                <w:rFonts w:ascii="Times New Roman" w:hAnsi="Times New Roman" w:cs="Times New Roman"/>
                <w:b w:val="0"/>
                <w:sz w:val="20"/>
                <w:szCs w:val="20"/>
              </w:rPr>
              <w:t>Гідрологічний заказник «Грузевицький»</w:t>
            </w:r>
          </w:p>
        </w:tc>
        <w:tc>
          <w:tcPr>
            <w:tcW w:w="2835" w:type="dxa"/>
            <w:vAlign w:val="center"/>
          </w:tcPr>
          <w:p w:rsidR="00A82CF9" w:rsidRDefault="00FE1182">
            <w:pPr>
              <w:spacing w:after="0" w:line="240" w:lineRule="auto"/>
              <w:jc w:val="center"/>
              <w:rPr>
                <w:rStyle w:val="a7"/>
                <w:rFonts w:ascii="Times New Roman" w:hAnsi="Times New Roman" w:cs="Times New Roman"/>
                <w:b w:val="0"/>
                <w:sz w:val="20"/>
                <w:szCs w:val="20"/>
              </w:rPr>
            </w:pPr>
            <w:r>
              <w:rPr>
                <w:rStyle w:val="a7"/>
                <w:rFonts w:ascii="Times New Roman" w:hAnsi="Times New Roman" w:cs="Times New Roman"/>
                <w:b w:val="0"/>
                <w:sz w:val="20"/>
                <w:szCs w:val="20"/>
              </w:rPr>
              <w:t>Гідрологічний заказник</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324, 0 </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загальна площа</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shd w:val="clear" w:color="auto" w:fill="FFFFFF"/>
              </w:rPr>
              <w:t>неподалік від села </w:t>
            </w:r>
            <w:hyperlink r:id="rId7" w:history="1">
              <w:r>
                <w:rPr>
                  <w:rStyle w:val="a4"/>
                  <w:rFonts w:ascii="Times New Roman" w:hAnsi="Times New Roman" w:cs="Times New Roman"/>
                  <w:color w:val="auto"/>
                  <w:sz w:val="20"/>
                  <w:szCs w:val="20"/>
                  <w:u w:val="none"/>
                  <w:shd w:val="clear" w:color="auto" w:fill="FFFFFF"/>
                </w:rPr>
                <w:t>Грузевиця</w:t>
              </w:r>
            </w:hyperlink>
            <w:r>
              <w:rPr>
                <w:rFonts w:ascii="Times New Roman" w:hAnsi="Times New Roman" w:cs="Times New Roman"/>
                <w:sz w:val="20"/>
                <w:szCs w:val="20"/>
                <w:shd w:val="clear" w:color="auto" w:fill="FFFFFF"/>
              </w:rPr>
              <w:t>.</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29</w:t>
            </w:r>
          </w:p>
        </w:tc>
        <w:tc>
          <w:tcPr>
            <w:tcW w:w="2777"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Заповідне урочище </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«Лезнівське»</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Заповідне урочище </w:t>
            </w:r>
          </w:p>
          <w:p w:rsidR="00A82CF9" w:rsidRDefault="00A82CF9">
            <w:pPr>
              <w:spacing w:after="0" w:line="240" w:lineRule="auto"/>
              <w:jc w:val="center"/>
              <w:rPr>
                <w:rStyle w:val="a7"/>
                <w:rFonts w:ascii="Times New Roman" w:hAnsi="Times New Roman" w:cs="Times New Roman"/>
                <w:b w:val="0"/>
                <w:sz w:val="20"/>
                <w:szCs w:val="20"/>
              </w:rPr>
            </w:pP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114, 0 </w:t>
            </w:r>
          </w:p>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загальна площа</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shd w:val="clear" w:color="auto" w:fill="FFFFFF"/>
              </w:rPr>
              <w:t>біля північно-східної околиці міста, у межах кв. 37 Хмельницького лісництва ДП «Хмельницьке лісомисливське господарство»</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30</w:t>
            </w:r>
          </w:p>
        </w:tc>
        <w:tc>
          <w:tcPr>
            <w:tcW w:w="2777" w:type="dxa"/>
            <w:vAlign w:val="center"/>
          </w:tcPr>
          <w:p w:rsidR="00A82CF9" w:rsidRDefault="00FE1182">
            <w:pPr>
              <w:spacing w:after="0" w:line="240" w:lineRule="auto"/>
              <w:jc w:val="center"/>
              <w:rPr>
                <w:rFonts w:ascii="Times New Roman" w:hAnsi="Times New Roman" w:cs="Times New Roman"/>
                <w:b/>
                <w:sz w:val="20"/>
                <w:szCs w:val="20"/>
              </w:rPr>
            </w:pPr>
            <w:r>
              <w:rPr>
                <w:rStyle w:val="a7"/>
                <w:rFonts w:ascii="Times New Roman" w:hAnsi="Times New Roman" w:cs="Times New Roman"/>
                <w:b w:val="0"/>
                <w:sz w:val="20"/>
                <w:szCs w:val="20"/>
              </w:rPr>
              <w:t>Лісовий заказник «Лісогринівецький»</w:t>
            </w:r>
          </w:p>
        </w:tc>
        <w:tc>
          <w:tcPr>
            <w:tcW w:w="2835" w:type="dxa"/>
            <w:vAlign w:val="center"/>
          </w:tcPr>
          <w:p w:rsidR="00A82CF9" w:rsidRDefault="00FE1182">
            <w:pPr>
              <w:spacing w:after="0" w:line="240" w:lineRule="auto"/>
              <w:jc w:val="center"/>
              <w:rPr>
                <w:rFonts w:ascii="Times New Roman" w:hAnsi="Times New Roman" w:cs="Times New Roman"/>
                <w:sz w:val="20"/>
                <w:szCs w:val="20"/>
              </w:rPr>
            </w:pPr>
            <w:r>
              <w:rPr>
                <w:rStyle w:val="a7"/>
                <w:rFonts w:ascii="Times New Roman" w:hAnsi="Times New Roman" w:cs="Times New Roman"/>
                <w:b w:val="0"/>
                <w:sz w:val="20"/>
                <w:szCs w:val="20"/>
              </w:rPr>
              <w:t>Лісовий заказник</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109,4 (загальна площа)</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shd w:val="clear" w:color="auto" w:fill="FFFFFF"/>
              </w:rPr>
              <w:t>Хмельницьке лісництво, кв. 35, 36, неподалік від села </w:t>
            </w:r>
            <w:hyperlink r:id="rId8" w:history="1">
              <w:r>
                <w:rPr>
                  <w:rStyle w:val="a4"/>
                  <w:rFonts w:ascii="Times New Roman" w:hAnsi="Times New Roman" w:cs="Times New Roman"/>
                  <w:color w:val="auto"/>
                  <w:sz w:val="20"/>
                  <w:szCs w:val="20"/>
                  <w:u w:val="none"/>
                  <w:shd w:val="clear" w:color="auto" w:fill="FFFFFF"/>
                </w:rPr>
                <w:t>Лісові Гринівці</w:t>
              </w:r>
            </w:hyperlink>
            <w:r>
              <w:rPr>
                <w:rFonts w:ascii="Times New Roman" w:hAnsi="Times New Roman" w:cs="Times New Roman"/>
                <w:sz w:val="20"/>
                <w:szCs w:val="20"/>
                <w:shd w:val="clear" w:color="auto" w:fill="FFFFFF"/>
              </w:rPr>
              <w:t>.</w:t>
            </w:r>
          </w:p>
        </w:tc>
      </w:tr>
      <w:tr w:rsidR="00A82CF9">
        <w:tc>
          <w:tcPr>
            <w:tcW w:w="479"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31</w:t>
            </w:r>
          </w:p>
        </w:tc>
        <w:tc>
          <w:tcPr>
            <w:tcW w:w="2777" w:type="dxa"/>
            <w:vAlign w:val="center"/>
          </w:tcPr>
          <w:p w:rsidR="00A82CF9" w:rsidRDefault="00FE1182">
            <w:pPr>
              <w:spacing w:after="0" w:line="240" w:lineRule="auto"/>
              <w:jc w:val="center"/>
              <w:rPr>
                <w:rStyle w:val="a7"/>
                <w:rFonts w:ascii="Times New Roman" w:hAnsi="Times New Roman" w:cs="Times New Roman"/>
                <w:sz w:val="20"/>
                <w:szCs w:val="20"/>
              </w:rPr>
            </w:pPr>
            <w:r>
              <w:rPr>
                <w:rFonts w:ascii="Times New Roman" w:hAnsi="Times New Roman" w:cs="Times New Roman"/>
                <w:sz w:val="20"/>
                <w:szCs w:val="20"/>
              </w:rPr>
              <w:t>Лісовий заказник «Барвінська криниця»</w:t>
            </w:r>
          </w:p>
        </w:tc>
        <w:tc>
          <w:tcPr>
            <w:tcW w:w="2835" w:type="dxa"/>
            <w:vAlign w:val="center"/>
          </w:tcPr>
          <w:p w:rsidR="00A82CF9" w:rsidRDefault="00FE1182">
            <w:pPr>
              <w:spacing w:after="0" w:line="240" w:lineRule="auto"/>
              <w:jc w:val="center"/>
              <w:rPr>
                <w:rStyle w:val="a7"/>
                <w:rFonts w:ascii="Times New Roman" w:hAnsi="Times New Roman" w:cs="Times New Roman"/>
                <w:sz w:val="20"/>
                <w:szCs w:val="20"/>
              </w:rPr>
            </w:pPr>
            <w:r>
              <w:rPr>
                <w:rFonts w:ascii="Times New Roman" w:hAnsi="Times New Roman" w:cs="Times New Roman"/>
                <w:sz w:val="20"/>
                <w:szCs w:val="20"/>
              </w:rPr>
              <w:t>Лісовий заказник місцевого значення</w:t>
            </w:r>
          </w:p>
        </w:tc>
        <w:tc>
          <w:tcPr>
            <w:tcW w:w="992" w:type="dxa"/>
            <w:vAlign w:val="center"/>
          </w:tcPr>
          <w:p w:rsidR="00A82CF9" w:rsidRDefault="00FE11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20,5011</w:t>
            </w:r>
          </w:p>
        </w:tc>
        <w:tc>
          <w:tcPr>
            <w:tcW w:w="2410" w:type="dxa"/>
          </w:tcPr>
          <w:p w:rsidR="00A82CF9" w:rsidRDefault="00FE1182">
            <w:pPr>
              <w:spacing w:after="0" w:line="240" w:lineRule="auto"/>
              <w:rPr>
                <w:rFonts w:ascii="Times New Roman" w:hAnsi="Times New Roman" w:cs="Times New Roman"/>
                <w:sz w:val="20"/>
                <w:szCs w:val="20"/>
              </w:rPr>
            </w:pPr>
            <w:r>
              <w:rPr>
                <w:rFonts w:ascii="Times New Roman" w:hAnsi="Times New Roman" w:cs="Times New Roman"/>
                <w:sz w:val="20"/>
                <w:szCs w:val="20"/>
              </w:rPr>
              <w:t>у межах Прибузького лісництва філії “Хмельницьке лісомисливське господарство”</w:t>
            </w:r>
          </w:p>
        </w:tc>
      </w:tr>
    </w:tbl>
    <w:p w:rsidR="00A82CF9" w:rsidRDefault="00A82CF9">
      <w:pPr>
        <w:rPr>
          <w:rFonts w:ascii="Times New Roman" w:hAnsi="Times New Roman" w:cs="Times New Roman"/>
          <w:sz w:val="20"/>
          <w:szCs w:val="20"/>
        </w:rPr>
      </w:pPr>
    </w:p>
    <w:p w:rsidR="00A82CF9" w:rsidRDefault="00FE1182">
      <w:pPr>
        <w:pStyle w:val="14"/>
        <w:keepNext w:val="0"/>
        <w:suppressAutoHyphens w:val="0"/>
        <w:spacing w:line="276" w:lineRule="auto"/>
        <w:rPr>
          <w:sz w:val="24"/>
          <w:szCs w:val="24"/>
          <w:lang w:val="uk-UA"/>
        </w:rPr>
      </w:pPr>
      <w:r>
        <w:rPr>
          <w:sz w:val="24"/>
          <w:szCs w:val="24"/>
          <w:lang w:val="uk-UA"/>
        </w:rPr>
        <w:t>Території та об’єкти ПЗФ Хмельницької МТГ мають важливе наукове, дендрологічне, інтродукційне, орнітологічне, природоохоронне, історико-культурне, естетичне, санітарно-гігієнічне, рекреаційне, навчальне, еколого-виховне, еколого-просвітницьке, пізнавальне значення та цінність спадку.</w:t>
      </w:r>
    </w:p>
    <w:p w:rsidR="00A82CF9" w:rsidRDefault="00FE1182">
      <w:pPr>
        <w:widowControl w:val="0"/>
        <w:spacing w:after="0" w:line="276" w:lineRule="auto"/>
        <w:ind w:firstLine="709"/>
        <w:jc w:val="both"/>
        <w:rPr>
          <w:rFonts w:ascii="Times New Roman" w:hAnsi="Times New Roman"/>
          <w:sz w:val="24"/>
          <w:szCs w:val="24"/>
        </w:rPr>
      </w:pPr>
      <w:r>
        <w:rPr>
          <w:rFonts w:ascii="Times New Roman" w:hAnsi="Times New Roman"/>
          <w:sz w:val="24"/>
          <w:szCs w:val="24"/>
        </w:rPr>
        <w:t xml:space="preserve">Режим господарського використання територій природно-заповідного фонду регламентується дією Закону України «Про природно-заповідний фонд» та Положеннями про об’єкти природно-заповідного фонду. </w:t>
      </w:r>
    </w:p>
    <w:p w:rsidR="00A82CF9" w:rsidRDefault="00FE1182">
      <w:pPr>
        <w:spacing w:after="0" w:line="276" w:lineRule="auto"/>
        <w:ind w:firstLine="709"/>
        <w:jc w:val="both"/>
        <w:rPr>
          <w:rFonts w:ascii="Times New Roman" w:hAnsi="Times New Roman"/>
          <w:sz w:val="24"/>
          <w:szCs w:val="24"/>
        </w:rPr>
      </w:pPr>
      <w:r>
        <w:rPr>
          <w:rFonts w:ascii="Times New Roman" w:hAnsi="Times New Roman"/>
          <w:sz w:val="24"/>
          <w:szCs w:val="24"/>
        </w:rPr>
        <w:t>Для збереження природно-заповідного фонду потребує розробки документація (землевпорядна, проєкти організації та утримання тощо), забезпечення кваліфікованого догляду за парками, дендропарками, окремими деревами та їх групами. У 2021 році розроблено проект організації території дендропарку місцевого значення «Поділля». У 2024 році встановлено межі територій природно-заповідного фонду 3 об’єктів : сквер ім. В. Івасюка, сквер ім. К. Скрябіна, парк «Заріччя».</w:t>
      </w:r>
    </w:p>
    <w:p w:rsidR="00A82CF9" w:rsidRDefault="00FE1182">
      <w:pPr>
        <w:spacing w:after="0" w:line="276" w:lineRule="auto"/>
        <w:ind w:firstLine="709"/>
        <w:jc w:val="both"/>
        <w:rPr>
          <w:rFonts w:ascii="Times New Roman" w:hAnsi="Times New Roman"/>
          <w:color w:val="000000"/>
          <w:sz w:val="24"/>
          <w:szCs w:val="24"/>
        </w:rPr>
      </w:pPr>
      <w:r>
        <w:rPr>
          <w:rFonts w:ascii="Times New Roman" w:hAnsi="Times New Roman"/>
          <w:b/>
          <w:sz w:val="24"/>
          <w:szCs w:val="24"/>
        </w:rPr>
        <w:t>Екологічна мережа.</w:t>
      </w:r>
      <w:r>
        <w:rPr>
          <w:rFonts w:ascii="Times New Roman" w:hAnsi="Times New Roman"/>
          <w:bCs/>
          <w:sz w:val="24"/>
          <w:szCs w:val="24"/>
        </w:rPr>
        <w:t xml:space="preserve"> </w:t>
      </w:r>
      <w:r>
        <w:rPr>
          <w:rFonts w:ascii="Times New Roman" w:hAnsi="Times New Roman"/>
          <w:color w:val="000000"/>
          <w:sz w:val="24"/>
          <w:szCs w:val="24"/>
        </w:rPr>
        <w:t>Територія Хмельницької МТГ інтегрована у регіональну екомережу та забезпечує її цілісність, а також є невід’ємною частиною Національної екологічної мережі України.</w:t>
      </w:r>
    </w:p>
    <w:p w:rsidR="00A82CF9" w:rsidRDefault="00FE1182">
      <w:pPr>
        <w:spacing w:after="0" w:line="276" w:lineRule="auto"/>
        <w:ind w:firstLine="709"/>
        <w:jc w:val="both"/>
        <w:rPr>
          <w:rFonts w:ascii="Times New Roman" w:hAnsi="Times New Roman"/>
          <w:color w:val="000000"/>
          <w:sz w:val="24"/>
          <w:szCs w:val="24"/>
        </w:rPr>
      </w:pPr>
      <w:r>
        <w:rPr>
          <w:rFonts w:ascii="Times New Roman" w:hAnsi="Times New Roman"/>
          <w:sz w:val="24"/>
          <w:szCs w:val="24"/>
        </w:rPr>
        <w:t>Згідно з розробленою регіональною схемою екологічної мережі Хмельницької області Хмельницька міська територіальна громада входить до Південнобузького екокоридору, Давидковецького природного ядра та частково до Чорноострівсько-Грузевицького, Верхньопобузького природних ядер та Бужоцько-Бузько-Вовксько-Смотрицького екокоридору Хмельницької області.</w:t>
      </w:r>
    </w:p>
    <w:p w:rsidR="00A82CF9" w:rsidRDefault="00FE1182">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Рішенням тридцять четвертої сесії Хмельницької міської ради від 09.10.2019 року № 37 затверджена схема екологічної мережі міста Хмельницького. Загальна площа екологічної мережі міста Хмельницького становить 1234,83 га, що складає 11,54 % від загальної площі міста. Загальна довжина екокоридорів екомережі становить 59,16 км.</w:t>
      </w:r>
    </w:p>
    <w:p w:rsidR="00A82CF9" w:rsidRDefault="00FE1182">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Структуру екомережі складають природні ядра та екокоридори національного, регіонального й місцевого рівнів, а також відновлювальні та буферні території.</w:t>
      </w:r>
    </w:p>
    <w:p w:rsidR="00A82CF9" w:rsidRDefault="00FE1182">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У межах міста Хмельницького виділено 6 природних ядер – центрів біорізноманіття: з них 5 регіонального рівня: Дендропарк Поділля, Парк ім. М. Чекмана, Прибузьке, Гречанський ліс, Ботанічний сад та одне ядро локального рівня – Ветеранський ліс. Їх об</w:t>
      </w:r>
      <w:r>
        <w:rPr>
          <w:rFonts w:ascii="Times New Roman" w:hAnsi="Times New Roman"/>
          <w:color w:val="000000"/>
          <w:sz w:val="24"/>
          <w:szCs w:val="24"/>
          <w:lang w:eastAsia="zh-CN"/>
        </w:rPr>
        <w:t xml:space="preserve">’єднують </w:t>
      </w:r>
      <w:r>
        <w:rPr>
          <w:rFonts w:ascii="Times New Roman" w:hAnsi="Times New Roman"/>
          <w:color w:val="000000"/>
          <w:sz w:val="24"/>
          <w:szCs w:val="24"/>
        </w:rPr>
        <w:t>10 екокоридорів різних рівнів: один національного рівня (Південнобузький); три регіонального рівня (Північний, Плоскирівський, Кудрянський); шість локального рівня: екокоридор (Лезнівський струмок, Південо-Західний, Південний, Дачі Дубово, Старосадівський, Книжковецький.</w:t>
      </w:r>
    </w:p>
    <w:p w:rsidR="00A82CF9" w:rsidRDefault="00FE1182">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Базою для формування локальної екомережі стала мережа природно-заповідних територій та об</w:t>
      </w:r>
      <w:r>
        <w:rPr>
          <w:rFonts w:ascii="Times New Roman" w:hAnsi="Times New Roman"/>
          <w:color w:val="000000"/>
          <w:sz w:val="24"/>
          <w:szCs w:val="24"/>
          <w:lang w:eastAsia="zh-CN"/>
        </w:rPr>
        <w:t>’</w:t>
      </w:r>
      <w:r>
        <w:rPr>
          <w:rFonts w:ascii="Times New Roman" w:hAnsi="Times New Roman"/>
          <w:color w:val="000000"/>
          <w:sz w:val="24"/>
          <w:szCs w:val="24"/>
        </w:rPr>
        <w:t>єктів. Екокоридори і ядра виділені в межах річкових долин та зелених зон, що є необхідною умовою їх захисту, забезпечення обміну генетичним матеріалом, збереження міграційних шляхів для біотичного різноманіття.</w:t>
      </w:r>
    </w:p>
    <w:p w:rsidR="00A82CF9" w:rsidRDefault="00FE1182">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У структурі екомережі виділено чотири відновлювальних території: «Озерненська», «Бандерівська», «Тернопільська», «Поворот на Розсошу». Їх загальна площа становить 0,55 га.</w:t>
      </w:r>
    </w:p>
    <w:p w:rsidR="00A82CF9" w:rsidRDefault="00FE1182">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Буферні території включають прибережно-захисні смуги та буферні зони територій ПЗФ. </w:t>
      </w:r>
    </w:p>
    <w:p w:rsidR="00A82CF9" w:rsidRDefault="00FE1182">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На сьогодні розпочато роботи з розробки екологічної мережі Хмельницької міської територіальної громади.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Пріоритетними завданнями в сфері озеленення є: </w:t>
      </w:r>
    </w:p>
    <w:p w:rsidR="00A82CF9" w:rsidRDefault="00FE1182">
      <w:pPr>
        <w:pStyle w:val="rtecenter"/>
        <w:shd w:val="clear" w:color="auto" w:fill="FFFFFF"/>
        <w:spacing w:before="0" w:beforeAutospacing="0" w:after="0" w:afterAutospacing="0"/>
        <w:ind w:firstLine="567"/>
        <w:jc w:val="both"/>
        <w:rPr>
          <w:rStyle w:val="a7"/>
          <w:b w:val="0"/>
        </w:rPr>
      </w:pPr>
      <w:r>
        <w:rPr>
          <w:rStyle w:val="a7"/>
          <w:b w:val="0"/>
        </w:rPr>
        <w:t>забезпечення системного управління у сфері озеленення, що передбачає: створення  програми озеленення та догляду за зеленими насадженнями на території Хмельницької міської територіальної громади; збереження існуючих зелених зон; посадку і  відповідний догляд за новоствореними;</w:t>
      </w:r>
    </w:p>
    <w:p w:rsidR="00A82CF9" w:rsidRDefault="00FE1182">
      <w:pPr>
        <w:pStyle w:val="rtecenter"/>
        <w:shd w:val="clear" w:color="auto" w:fill="FFFFFF"/>
        <w:spacing w:before="0" w:beforeAutospacing="0" w:after="0" w:afterAutospacing="0"/>
        <w:ind w:firstLine="567"/>
        <w:jc w:val="both"/>
        <w:rPr>
          <w:rStyle w:val="a7"/>
          <w:b w:val="0"/>
        </w:rPr>
      </w:pPr>
      <w:r>
        <w:rPr>
          <w:rStyle w:val="a7"/>
          <w:b w:val="0"/>
        </w:rPr>
        <w:t>виключення можливості зміни цільового призначення  та видачі містобудівних умов та обмежень на забудову земельних ділянок рекреаційного призначення, у тому числі зелених насаджень загального користування;</w:t>
      </w:r>
    </w:p>
    <w:p w:rsidR="00A82CF9" w:rsidRDefault="00FE1182">
      <w:pPr>
        <w:pStyle w:val="rtecenter"/>
        <w:shd w:val="clear" w:color="auto" w:fill="FFFFFF"/>
        <w:spacing w:before="0" w:beforeAutospacing="0" w:after="0" w:afterAutospacing="0"/>
        <w:ind w:firstLine="567"/>
        <w:jc w:val="both"/>
        <w:rPr>
          <w:rStyle w:val="a7"/>
          <w:b w:val="0"/>
        </w:rPr>
      </w:pPr>
      <w:r>
        <w:rPr>
          <w:rStyle w:val="a7"/>
          <w:b w:val="0"/>
        </w:rPr>
        <w:t xml:space="preserve">створення міні-скверів, організація вертикального озеленення у густо забудованій центральній частині міста; </w:t>
      </w:r>
    </w:p>
    <w:p w:rsidR="00A82CF9" w:rsidRDefault="00FE1182">
      <w:pPr>
        <w:pStyle w:val="rtecenter"/>
        <w:shd w:val="clear" w:color="auto" w:fill="FFFFFF"/>
        <w:spacing w:before="0" w:beforeAutospacing="0" w:after="0" w:afterAutospacing="0"/>
        <w:ind w:firstLine="567"/>
        <w:jc w:val="both"/>
        <w:rPr>
          <w:rStyle w:val="a7"/>
          <w:b w:val="0"/>
        </w:rPr>
      </w:pPr>
      <w:r>
        <w:rPr>
          <w:rStyle w:val="a7"/>
          <w:b w:val="0"/>
        </w:rPr>
        <w:t>розширення мережі територій та об’єктів природно-заповідного фонду;</w:t>
      </w:r>
    </w:p>
    <w:p w:rsidR="00A82CF9" w:rsidRDefault="00FE1182">
      <w:pPr>
        <w:pStyle w:val="rtecenter"/>
        <w:shd w:val="clear" w:color="auto" w:fill="FFFFFF"/>
        <w:spacing w:before="0" w:beforeAutospacing="0" w:after="0" w:afterAutospacing="0"/>
        <w:ind w:firstLine="567"/>
        <w:jc w:val="both"/>
        <w:rPr>
          <w:rStyle w:val="a7"/>
          <w:b w:val="0"/>
        </w:rPr>
      </w:pPr>
      <w:r>
        <w:rPr>
          <w:rStyle w:val="a7"/>
          <w:b w:val="0"/>
        </w:rPr>
        <w:t>здійснення заходів щодо збереження та розвитку існуючих територій та об’єктів природно-заповідного фонду;</w:t>
      </w:r>
    </w:p>
    <w:p w:rsidR="00A82CF9" w:rsidRDefault="00FE1182">
      <w:pPr>
        <w:pStyle w:val="rtecenter"/>
        <w:shd w:val="clear" w:color="auto" w:fill="FFFFFF"/>
        <w:spacing w:before="0" w:beforeAutospacing="0" w:after="0" w:afterAutospacing="0"/>
        <w:ind w:firstLine="567"/>
        <w:jc w:val="both"/>
        <w:rPr>
          <w:rStyle w:val="a7"/>
          <w:b w:val="0"/>
        </w:rPr>
      </w:pPr>
      <w:r>
        <w:rPr>
          <w:rStyle w:val="a7"/>
          <w:b w:val="0"/>
        </w:rPr>
        <w:t xml:space="preserve">розроблення проєктів організації території об’єктів природно-заповідного фонду та проєктів утримання парків-пам’яток садово-паркового мистецтва; </w:t>
      </w:r>
    </w:p>
    <w:p w:rsidR="00A82CF9" w:rsidRDefault="00FE1182">
      <w:pPr>
        <w:pStyle w:val="rtecenter"/>
        <w:shd w:val="clear" w:color="auto" w:fill="FFFFFF"/>
        <w:spacing w:before="0" w:beforeAutospacing="0" w:after="0" w:afterAutospacing="0"/>
        <w:ind w:firstLine="567"/>
        <w:jc w:val="both"/>
        <w:rPr>
          <w:rStyle w:val="a7"/>
          <w:b w:val="0"/>
        </w:rPr>
      </w:pPr>
      <w:r>
        <w:rPr>
          <w:rStyle w:val="a7"/>
          <w:b w:val="0"/>
        </w:rPr>
        <w:t>використання сучасних сумішей у зимовий період з метою захисту зелених насаджень від засолення ґрунту.</w:t>
      </w:r>
    </w:p>
    <w:p w:rsidR="00A82CF9" w:rsidRDefault="00A82CF9">
      <w:pPr>
        <w:spacing w:after="0" w:line="276" w:lineRule="auto"/>
        <w:ind w:firstLine="709"/>
        <w:jc w:val="both"/>
        <w:rPr>
          <w:rFonts w:ascii="Times New Roman" w:hAnsi="Times New Roman"/>
          <w:color w:val="000000"/>
          <w:sz w:val="24"/>
          <w:szCs w:val="24"/>
        </w:rPr>
      </w:pPr>
    </w:p>
    <w:p w:rsidR="00A82CF9" w:rsidRDefault="00FE1182">
      <w:pPr>
        <w:pStyle w:val="a9"/>
        <w:ind w:right="-141" w:firstLine="567"/>
        <w:jc w:val="both"/>
        <w:rPr>
          <w:rStyle w:val="spanrvts0"/>
          <w:rFonts w:eastAsia="Calibri"/>
          <w:b/>
          <w:lang w:val="uk" w:eastAsia="uk"/>
        </w:rPr>
      </w:pPr>
      <w:r>
        <w:rPr>
          <w:rStyle w:val="spanrvts0"/>
          <w:rFonts w:eastAsia="Calibri"/>
          <w:b/>
          <w:lang w:val="uk" w:eastAsia="uk"/>
        </w:rPr>
        <w:t>2.3. Водні ресурси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Водні ресурси є одними з найважливіших складових довкілля, від яких залежить життя та здоров’я людей, стан екосистем і розвиток економіки. Водночас водні ресурси є одним з найбільш вразливих елементів природного середовища, якість якого здатна швидко погіршуватися під впливом господарсько-побутової діяльності людини. Постійний зріст антропогенного тиску на гідросферу, зміни в режимі води та обсягах поверхневих вод призводять до зниження якісних та кількостей характеристик поверхневих вод.</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Основними джерелами забруднення є: стічні води підприємств промисловості та житлово-комунального господарства; скиди неочищених або недостатньо очищених стічних вод з очисних споруд; поверхневий стік з сільськогосподарських угідь, доріг та інших міських територій; атмосферні опади та транспорт.</w:t>
      </w:r>
    </w:p>
    <w:p w:rsidR="00A82CF9" w:rsidRDefault="00FE1182">
      <w:pPr>
        <w:pStyle w:val="a9"/>
        <w:ind w:firstLine="567"/>
        <w:jc w:val="both"/>
        <w:rPr>
          <w:rStyle w:val="spanrvts0"/>
          <w:rFonts w:eastAsia="Calibri"/>
          <w:shd w:val="clear" w:color="auto" w:fill="FFFFFF"/>
        </w:rPr>
      </w:pPr>
      <w:r>
        <w:rPr>
          <w:rFonts w:ascii="Times New Roman" w:hAnsi="Times New Roman"/>
          <w:sz w:val="24"/>
          <w:szCs w:val="24"/>
        </w:rPr>
        <w:t>Актуальність проблеми раціонального використання водних ресурсів та їх охорони від забруднення і виснаження охоплює різні регіони країни, в тому числі Хмельницьку міську територіальну громаду. Останнім часом відзначається тенденція до зменшення обсягів водних ресурсів, спричинена змінами кліматичних умов, а забруднення стоками та іншими джерелами призводить до зниження екологічної стійкості водних систем та їх саморегенераційної здатності. Отже, в умовах підвищення антропогенного тиску на більшу кількість водних екосистем актуальним питанням стає оцінка екологічного стану та шляхи вирішення екологічних проблем поверхневих вод, як на місцевому, так і на загальнодержавному рівнях.</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Водні ресурси Хмельницької міської територіальної громади складаються з </w:t>
      </w:r>
      <w:r>
        <w:rPr>
          <w:rStyle w:val="a7"/>
          <w:rFonts w:ascii="Times New Roman" w:hAnsi="Times New Roman"/>
          <w:sz w:val="24"/>
          <w:szCs w:val="24"/>
        </w:rPr>
        <w:t>поверхневих і підземних вод</w:t>
      </w:r>
      <w:r>
        <w:rPr>
          <w:rFonts w:ascii="Times New Roman" w:hAnsi="Times New Roman"/>
          <w:sz w:val="24"/>
          <w:szCs w:val="24"/>
        </w:rPr>
        <w:t xml:space="preserve">, що мають велике значення для водопостачання, екологічного балансу та рекреації населення.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Поверхневі водні об’єкти представлені такими основними річками: Південний Буг (головна водна артерія громади); Кудрянка (права притока Південного Бугу); Плоска (права притока Південного Бугу); Зелена (ліва притока Південного Бугу); Зінчиця (ліва притока Південного Бугу); Вовк (права притока Південного Бугу).</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Загалом на території громади налічується 5 водосховищ: у заплаві річки Кудрянка (Самець) в м. Хмельницький (об’ємом 1330,7 тис. м3 );  на р. Південний Буг в м. Хмельницький (об’ємом 5000,2 тис. м3 );  на р. Зінчиця за межами с. Малашівці (об’ємом 1127,6 тис. м3 ); – на р. Зінчиця за межами с. Пирогівці (об’ємом 1813,5 тис. м3 ); – у заплаві річки Плоскої за межами с. Шаровечка (об’ємом 1380,0 тис. м3 ). Загальна площа водного дзеркала при нормальному підпірному рівні (НПР) водосховищ становить 459,4213 га. Також на території громади налічується 101 ставок загально площею водного дзеркала при НПР 500,6337 га, з яких 8 неруслових ставків та 93 руслових.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Всі річки мають змішаний тип живлення: при цьому, навесні переважає снігове живлення – танення снігу, влітку – дощовими.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За даними спостережень вміст забруднюючих речовин, які потрапляють у поверхневі водні об’єкти, щороку зростає. Ймовірною причиною забруднення являється зношеність існуючих очисних споруд, каналізаційних мереж, відсутність очисних споруд зливових вод, зміна кліматичних умов (мілководдя), забудова водоохоронних зон та водно-болотних угідь. Важлива роль останніх полягає в очищенні поверхневих стоків перед потраплянням у річку водно-болотною біотою.</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Із зворотними водами у водні об’єкти потрапляють такі забруднюючі речовини, як азот амонійний, сульфати, нітрати, синтетичні поверхнево-активні речовин, фосфати тощо. Активне використання населенням в побуті хімічних миючих засобів створює труднощі при здійсненні очистки стічних вод на очисних спорудах повної біологічної очистки.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Струмки, потічки, канали, які протікають територією МТГ, потребують покращення санітарного стану прибережної зони, ліквідації надходження неочищених стоків із неканалізованих територій міста, оскільки вони є джерелами забруднення басейну річки Південний Буг.</w:t>
      </w:r>
    </w:p>
    <w:p w:rsidR="00A82CF9" w:rsidRDefault="00FE1182">
      <w:pPr>
        <w:pStyle w:val="a9"/>
        <w:ind w:firstLine="567"/>
        <w:jc w:val="both"/>
        <w:rPr>
          <w:rFonts w:ascii="Times New Roman" w:hAnsi="Times New Roman"/>
          <w:sz w:val="24"/>
          <w:szCs w:val="24"/>
        </w:rPr>
      </w:pPr>
      <w:r>
        <w:rPr>
          <w:rFonts w:ascii="Times New Roman" w:hAnsi="Times New Roman"/>
          <w:color w:val="000000"/>
          <w:sz w:val="24"/>
          <w:szCs w:val="24"/>
          <w:lang w:eastAsia="ar-SA"/>
        </w:rPr>
        <w:t>Щорічно здійснюється моніторинг якості поверхневих вод на водних об’єктах, розташованих на території громади (відібрано 30 проб). За даними спостережень фіксується підвищений вміст забруднюючих речовин, які потрапляють у поверхневі водні об’єкти. Зокрема, у р. Південний Буг у с. Копистин спостерігається  перевищення гранично допустимих концентрацій забруднюючих речовин.</w:t>
      </w:r>
      <w:r>
        <w:rPr>
          <w:rFonts w:ascii="Times New Roman" w:hAnsi="Times New Roman"/>
          <w:sz w:val="24"/>
          <w:szCs w:val="24"/>
        </w:rPr>
        <w:t xml:space="preserve"> Аналізуючи результати спостережень рівня забруднення річки Південний Буг за останні п’ять років, (проби відбирались у двох створах річки Південний Буг: 0,1-0,7 км вище від межі міста та 0,5-0,7 км нижче межі міста) відзначається тенденція значне  зростання таких забруднюючих речовин, як азот амонійний, азот нітритний, залізо загальне, сполуки міді та марганцю.</w:t>
      </w:r>
    </w:p>
    <w:p w:rsidR="00A82CF9" w:rsidRDefault="00FE118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покращення стану  поверхневих водних об’єктів проведено </w:t>
      </w:r>
      <w:r>
        <w:rPr>
          <w:rFonts w:ascii="Times New Roman" w:hAnsi="Times New Roman" w:cs="Times New Roman"/>
          <w:color w:val="000000"/>
          <w:sz w:val="24"/>
          <w:szCs w:val="24"/>
          <w:lang w:eastAsia="uk-UA"/>
        </w:rPr>
        <w:t xml:space="preserve">наукові дослідження з вивчення стану якості води у р. Південний Буг (у межах міста) та озері у мікрорайоні Озерна. Здійснювались </w:t>
      </w:r>
      <w:r>
        <w:rPr>
          <w:rFonts w:ascii="Times New Roman" w:hAnsi="Times New Roman" w:cs="Times New Roman"/>
          <w:color w:val="000000"/>
          <w:sz w:val="24"/>
          <w:szCs w:val="24"/>
        </w:rPr>
        <w:t>заходи з комплексної біомеліорації міського водосховища та водойм у парку ім. М. Чекмана (вселення риб-меліорантів, водоростей хлорели, вапнування).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Для водопостачання міста Хмельницького питна вода видобувається із підземних джерел, накопичується в резервуарах водопровідних насосних станцій, дезинфікується, знезалізнюється і подається водогонами, розподільчою мережею до споживачів.</w:t>
      </w:r>
    </w:p>
    <w:p w:rsidR="00A82CF9" w:rsidRDefault="00FE1182">
      <w:pPr>
        <w:pStyle w:val="a9"/>
        <w:tabs>
          <w:tab w:val="left" w:pos="567"/>
        </w:tabs>
        <w:jc w:val="both"/>
        <w:rPr>
          <w:rFonts w:ascii="Times New Roman" w:hAnsi="Times New Roman"/>
          <w:sz w:val="24"/>
          <w:szCs w:val="24"/>
        </w:rPr>
      </w:pPr>
      <w:r>
        <w:rPr>
          <w:rFonts w:ascii="Times New Roman" w:hAnsi="Times New Roman"/>
          <w:sz w:val="24"/>
          <w:szCs w:val="24"/>
        </w:rPr>
        <w:tab/>
        <w:t>Вода видобувається з 20 артезіанських свердловин Чернелівської ділянки Хмельницького родовища підземних вод. Інші 5 ділянок, такі як «Кудрянка», «Центральна» «Західна», «Південна» та «Шаровечка» знаходяться в резервному режимі (в основному без відновлення та модернізації споруд і обладнання).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Якість води за основними показниками відповідає діючим в Україні нормативам ДСНіП 2.2.4.17</w:t>
      </w:r>
      <w:r>
        <w:rPr>
          <w:rFonts w:ascii="Times New Roman" w:hAnsi="Times New Roman"/>
          <w:sz w:val="24"/>
          <w:szCs w:val="24"/>
          <w:lang w:val="ru-RU"/>
        </w:rPr>
        <w:t>1</w:t>
      </w:r>
      <w:r>
        <w:rPr>
          <w:rFonts w:ascii="Times New Roman" w:hAnsi="Times New Roman"/>
          <w:sz w:val="24"/>
          <w:szCs w:val="24"/>
        </w:rPr>
        <w:t>-10 «Вода питна») з дозволеними Мінохорони здоров’я відхиленнями по вмісту заліза, аміаку, жорсткості, які є переважно  природного походження.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Для забезпечення надійності та стійкості систем водопостачання, важливо враховувати можливості оновлення та модернізації обладнання на резервних ділянках. Проактивний підхід до утримання та розвитку водозаборів є ключовим для забезпечення безперебійного водопостачання міста в умовах зростання та зміни водних ресурсів.</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Децентралізоване водопостачання на території міської територіальної громади забезпечується криницями та свердловинами, які переважно експлуатуються в селах, що увійшли до складу громади.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Залишається проблемою визначення розмірів і меж водоохоронних зон та прибережних захисних смуг вздовж річок та навколо водойм на території громади. Відповідно до Програми охорони довкілля Хмельницької міської територіальної громади на 2021-2025 роки, на виконання заходів з охорони та раціонального використання водних ресурсів, у 2023 році було розпочато роботи з виготовлення проєктів землеустрою щодо встановлення меж прибережних захисних смуг поверхневих водних об’єктів. Першим етапом було виготовлено проєкт землеустрою щодо організації і встановлення меж прибережних захисних смуг річки Південний Буг на ділянках: від межі територіальної громади  до мосту на вулиці Кам’янецькій (151,42 га); від вулиці Трудової до межі території міста Хмельницького (56,0 га ). Проєкти землеустрою затверджено Рішенням сесії Хмельницької міської  від 14.06.2024 року №53.  Другим етапом у 2024 році - на ділянці:  від мосту по вул. Кам’янецькій до вул. Трудової (64,38 га) та від межі території м. Хмельницького (мікрорайон Лезнево) до межі Хмельницької міської територіальної громади (382,3 га). Проєкти землеустрою затверджені Рішенням сесії Хмельницької міської  від 27.06.2025 року №53. Загальна площа встановлених прибережних захисних смуг  становить 654,1 га (з обох сторін берегів). В подальшому планується реалізовувати зазначені заходи для інших річок в межах громади.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Пріоритетними завданнями охорони водних ресурсів</w:t>
      </w:r>
      <w:r>
        <w:rPr>
          <w:rFonts w:ascii="Times New Roman" w:hAnsi="Times New Roman"/>
          <w:sz w:val="24"/>
          <w:szCs w:val="24"/>
          <w:u w:val="single"/>
        </w:rPr>
        <w:t>,</w:t>
      </w:r>
      <w:r>
        <w:rPr>
          <w:rFonts w:ascii="Times New Roman" w:hAnsi="Times New Roman"/>
          <w:sz w:val="24"/>
          <w:szCs w:val="24"/>
        </w:rPr>
        <w:t xml:space="preserve"> реалізація яких вимагає значних фінансових ресурсів,  є: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забезпечення якості питної води;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модернізація і капітальний ремонт артезіанських свердловин і водопровідних насосних станцій;</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капітальний ремонт або будівництво нових міських  очисних споруд;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розширення каналізаційної мережі в приватному секторі для забезпечення централізованого водовідведення та мінімізації забруднення поверхневих водойм громади неочищеними стічними водами;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будівництво локальних очисних споруд зливових стоків та покращення стану існуючої дощової каналізації територіальної громади;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виявлення та ліквідація самовільних несанкціонованих підключень комунально-побутових стоків в мережу зливової каналізації;</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моніторинг поверхневих вод;</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розчистка русел та ревіталізація малих річок;</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винесення меж прибережних захисних смуг та вирішення питання їх утримання;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інформування населення про стан водних екосистем та джерел їх забруднення (в тому числі видання науково-просвітницької літератури), залучення громадськості до вирішення водоохоронних та водозберігаючих питань.</w:t>
      </w:r>
    </w:p>
    <w:p w:rsidR="00A82CF9" w:rsidRDefault="00A82CF9">
      <w:pPr>
        <w:pStyle w:val="a9"/>
        <w:ind w:firstLine="567"/>
        <w:jc w:val="both"/>
        <w:rPr>
          <w:rFonts w:ascii="Times New Roman" w:hAnsi="Times New Roman"/>
          <w:sz w:val="24"/>
          <w:szCs w:val="24"/>
        </w:rPr>
      </w:pPr>
    </w:p>
    <w:p w:rsidR="00A82CF9" w:rsidRDefault="00FE1182">
      <w:pPr>
        <w:pStyle w:val="a9"/>
        <w:ind w:firstLine="567"/>
        <w:jc w:val="center"/>
        <w:rPr>
          <w:rFonts w:ascii="Times New Roman" w:hAnsi="Times New Roman"/>
          <w:b/>
          <w:sz w:val="24"/>
          <w:szCs w:val="24"/>
        </w:rPr>
      </w:pPr>
      <w:r>
        <w:rPr>
          <w:rFonts w:ascii="Times New Roman" w:hAnsi="Times New Roman"/>
          <w:b/>
          <w:sz w:val="24"/>
          <w:szCs w:val="24"/>
        </w:rPr>
        <w:t xml:space="preserve">2.4. Управління відходами </w:t>
      </w:r>
    </w:p>
    <w:p w:rsidR="00A82CF9" w:rsidRDefault="00A82CF9">
      <w:pPr>
        <w:pStyle w:val="a9"/>
        <w:jc w:val="both"/>
        <w:rPr>
          <w:rFonts w:ascii="Times New Roman" w:hAnsi="Times New Roman"/>
          <w:b/>
          <w:sz w:val="24"/>
          <w:szCs w:val="24"/>
        </w:rPr>
      </w:pP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Пріоритетом у поводженні з відходами для Хмельницької міської територіальної громади є діяльність, спрямована на зменшення утворення відходів, роздільне збирання твердих побутових відходів і залучення відходів у процеси виробництва як ресурсів сировини та енергії. Управління побутовими та іншими відходами у Хмельницькій громаді спрямоване на впровадження </w:t>
      </w:r>
      <w:r>
        <w:rPr>
          <w:rStyle w:val="a7"/>
          <w:rFonts w:ascii="Times New Roman" w:hAnsi="Times New Roman"/>
          <w:b w:val="0"/>
          <w:sz w:val="24"/>
          <w:szCs w:val="24"/>
        </w:rPr>
        <w:t>сучасних екологічних підходів</w:t>
      </w:r>
      <w:r>
        <w:rPr>
          <w:rFonts w:ascii="Times New Roman" w:hAnsi="Times New Roman"/>
          <w:sz w:val="24"/>
          <w:szCs w:val="24"/>
        </w:rPr>
        <w:t xml:space="preserve">, зокрема </w:t>
      </w:r>
      <w:r>
        <w:rPr>
          <w:rStyle w:val="a7"/>
          <w:rFonts w:ascii="Times New Roman" w:hAnsi="Times New Roman"/>
          <w:b w:val="0"/>
          <w:sz w:val="24"/>
          <w:szCs w:val="24"/>
        </w:rPr>
        <w:t>принципів циркулярної економіки та «Zero Waste» (нуль відходів)</w:t>
      </w:r>
      <w:r>
        <w:rPr>
          <w:rFonts w:ascii="Times New Roman" w:hAnsi="Times New Roman"/>
          <w:b/>
          <w:sz w:val="24"/>
          <w:szCs w:val="24"/>
        </w:rPr>
        <w:t>.</w:t>
      </w:r>
      <w:r>
        <w:rPr>
          <w:rFonts w:ascii="Times New Roman" w:hAnsi="Times New Roman"/>
          <w:sz w:val="24"/>
          <w:szCs w:val="24"/>
        </w:rPr>
        <w:t xml:space="preserve"> Місто приєдналося до міжнародної сертифікації </w:t>
      </w:r>
      <w:r>
        <w:rPr>
          <w:rStyle w:val="a7"/>
          <w:rFonts w:ascii="Times New Roman" w:hAnsi="Times New Roman"/>
          <w:b w:val="0"/>
          <w:sz w:val="24"/>
          <w:szCs w:val="24"/>
        </w:rPr>
        <w:t>Zero Waste Cities</w:t>
      </w:r>
      <w:r>
        <w:rPr>
          <w:rFonts w:ascii="Times New Roman" w:hAnsi="Times New Roman"/>
          <w:sz w:val="24"/>
          <w:szCs w:val="24"/>
        </w:rPr>
        <w:t xml:space="preserve">, що підтверджує намір зменшити утворення сміття, впроваджувати сортування й переробку на місцевому рівні.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Хмельницьке комунальне підприємство «Спецкомунтранс» найбільше підприємство міста у сфері надання послуг із збирання та перевезення побутових відходів, діяльність якого спрямована на організацію найбільш якісної системи управління відходами.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Окрім того, у господарському віданні комунального підприємства перебуває полігон твердих побутових відходів. Існуючий полігон твердих побутових відходів міста наближається до заповнення своєї максимальної ємності, а утворення побутових відходів м. Хмельницького в найближчі роки суттєво збільшиться. Саме тому, Хмельницьким комунальним підприємством «Спецкомунтранс» було розроблено Проєкт модернізації інфраструктури твердих побутових відходів у м. Хмельницьком. 07 жовтня 2020 року між ХКП «Спецкомунтранс» та Європейським банком реконструкції та розвитку (ЄБРР) був підписаний кредитний договір, а також договір гранту між ХКП «Спецкомунтранс», Хмельницькою міською радою та ЄБРР. Проєкт складається з наступних етапів:</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реконструкції сміттєвого полігону та будівництво двох нових санітарних секцій полігону;</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 встановлення нової системи для очистки фільтрату;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 придбання нового обладнання для сміттєвого полігону; </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будівництво комплексу з механіко-біологічного оброблення відходів. Ця система включає: механічне оброблення (просіювання) на сортувальній лінії для вилучення матеріалів, які придатні для повторного використання, виробництво палива з відходів (RDF) та компостування органічної фракції ТПВ за допомогою аерації та перемішування в закритих, металевих коробах.</w:t>
      </w:r>
    </w:p>
    <w:p w:rsidR="00A82CF9" w:rsidRDefault="00FE1182">
      <w:pPr>
        <w:pStyle w:val="a9"/>
        <w:ind w:firstLine="567"/>
        <w:jc w:val="both"/>
        <w:rPr>
          <w:rFonts w:ascii="Times New Roman" w:hAnsi="Times New Roman"/>
          <w:color w:val="000000"/>
          <w:sz w:val="24"/>
          <w:szCs w:val="24"/>
        </w:rPr>
      </w:pPr>
      <w:r>
        <w:rPr>
          <w:rFonts w:ascii="Times New Roman" w:hAnsi="Times New Roman"/>
          <w:color w:val="000000"/>
          <w:sz w:val="24"/>
          <w:szCs w:val="24"/>
        </w:rPr>
        <w:t xml:space="preserve">У рамках </w:t>
      </w:r>
      <w:r>
        <w:rPr>
          <w:rFonts w:ascii="Times New Roman" w:hAnsi="Times New Roman"/>
          <w:color w:val="000000"/>
          <w:sz w:val="24"/>
          <w:szCs w:val="24"/>
          <w:lang w:eastAsia="uk-UA"/>
        </w:rPr>
        <w:t xml:space="preserve">проєкту «Нове будівництво очисних фільтрувальних споруд (ОФС) Хмельницького полігону твердих побутових відходів» встановлено станцію </w:t>
      </w:r>
      <w:r>
        <w:rPr>
          <w:rFonts w:ascii="Times New Roman" w:hAnsi="Times New Roman"/>
          <w:sz w:val="24"/>
          <w:szCs w:val="24"/>
          <w:lang w:eastAsia="ru-RU"/>
        </w:rPr>
        <w:t xml:space="preserve">очищення фільтрату, яка працює у режимі </w:t>
      </w:r>
      <w:r>
        <w:rPr>
          <w:rFonts w:ascii="Times New Roman" w:hAnsi="Times New Roman"/>
          <w:color w:val="000000"/>
          <w:sz w:val="24"/>
          <w:szCs w:val="24"/>
        </w:rPr>
        <w:t>тестової експлуатації. Розпочато будівельні роботи безпосередньо на полігоні твердих побутових відходів. Триває облаштування нових карт полігону, де складуватиметься сміття після переробки.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 метою сортування побутових відходів у місті створено 2 Центри управління відходами - місця, куди кожен мешканець міста може безкоштовно здати відходи для їх подальшої переробки чи утилізації. Завдяки роботі Центрів планується скоротити потрапляння відходів на полігон та поступово упорядкувати поводження з великогабаритними відходами в місті. Центрами управління відходами зібрано 2,9 т батарейок, 709 термометрів, 10,6 тис. ламп, 1,1 т медикаментів, 1,3 тис. од. великої побутової техніки, 2,7 т тари (фарби, лаки, клеї), 92 л відпрацьованого мастила, 42,2 т будівельних відходів, 14,4 т зелених відходів, 7,2 т макулатури, 1,2 т поліетилену, 3,9 т склобою, 1,5 т металобрухту, 12,5 т одягу тощо. Підприємство ХКП «Спецкомунтранс» у 2025 році розпочало облаштування нового Центру управління відходами за адресою: вул. С. Хороброго, 1.</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Крім того в громаді працює Екобус, який курсує по місту та населених пунктах старостатів за графіком та приймає від населення  небезпечні відходи, що містяться у складі побутових. Послугами Екобусу, що забезпечує збирання небезпечних відходів у складі побутових, за 2024 рік було прийнято та передано на утилізацію 14,8 т, зокрема: 5678 кг 37 батарейок, 1000 шт. ртутних термометрів, 8834 шт. люмінесцентних та енергозберігаючих ламп, 1500 кг медикаментів, 3000 кг електронного обладнання, 2000 кг фарб, клеїв, розчинники (в тарі). Усі відходи, що містять ртуть (люмінесцентні лампи, енергозберігаючі лампи, термометри), зібрані Екобусом, передаються на утилізацію до ДП «Боднарівка» ЛКП «Зелений Львів» у м. Львів. Усі інші небезпечні відходи (батарейки тощо) передаються ТОВ «Екологічні інвестиції», м. Київ. Протягом поточного 2025 року за допомогою Екобусу зібрано на утилізацію 1,9 т батарейок, 2,2 тис. ламп люмінесцентних та енергозберігаючих, 348 термометрів, 494 кг медикаментів, 0,7 т тари (фарби, клеї, розчинники), 1,3 т відпрацьованого електричного та електронного обладнання.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У місті Хмельницькому продовжує функціонувати інтерактивний навчальний центр поводження з відходами – «Гуфі центр», який впродовж 2024 року прийняв 9604 відвідувача. Гіди центру провели 434 тури для дітей зі шкіл та дошкільних закладів міста та Хмельницької територіальної громади, педагогів, працівників комунальних підприємств, ВПО, іноземних гостей, а також для усіх бажаючих.</w:t>
      </w:r>
    </w:p>
    <w:p w:rsidR="00A82CF9" w:rsidRDefault="00FE1182">
      <w:pPr>
        <w:pStyle w:val="a9"/>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Щороку проводиться активна робота з ліквідації стихійних сміттєзвалищ. З метою виявлення та ліквідації стихійних сміттєзвалищ у зелених зонах, прибережних смугах водойм постійно діючою  комісією з питань поводження з безхазяйними відходами здійснюються обстеження території громади. Стихійні сміттєзвалища, виявлені під час рейдів, обстежень  фіксуються в актах обстежень, здійснюється контроль за їх ліквідацією. </w:t>
      </w:r>
      <w:r>
        <w:rPr>
          <w:rFonts w:ascii="Times New Roman" w:hAnsi="Times New Roman"/>
          <w:sz w:val="24"/>
          <w:szCs w:val="24"/>
        </w:rPr>
        <w:t>Також, протягом поточного 2025 року на території громади проведені роботи з ліквідації 6 стихійних сміттєзвалищ.</w:t>
      </w:r>
    </w:p>
    <w:p w:rsidR="00A82CF9" w:rsidRDefault="00FE1182">
      <w:pPr>
        <w:pStyle w:val="a9"/>
        <w:ind w:firstLine="567"/>
        <w:jc w:val="both"/>
        <w:rPr>
          <w:rFonts w:ascii="Times New Roman" w:hAnsi="Times New Roman"/>
          <w:sz w:val="24"/>
          <w:szCs w:val="24"/>
          <w:lang w:eastAsia="uk-UA"/>
        </w:rPr>
      </w:pPr>
      <w:r>
        <w:rPr>
          <w:rFonts w:ascii="Times New Roman" w:hAnsi="Times New Roman"/>
          <w:color w:val="000000"/>
          <w:sz w:val="24"/>
          <w:szCs w:val="24"/>
          <w:lang w:eastAsia="uk-UA"/>
        </w:rPr>
        <w:t xml:space="preserve">Пріоритетні завдання у сфері управління  відходами є: </w:t>
      </w:r>
    </w:p>
    <w:p w:rsidR="00A82CF9" w:rsidRDefault="00FE1182">
      <w:pPr>
        <w:pStyle w:val="a9"/>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закриття й рекультивація існуючого полігону; </w:t>
      </w:r>
    </w:p>
    <w:p w:rsidR="00A82CF9" w:rsidRDefault="00FE1182">
      <w:pPr>
        <w:pStyle w:val="a9"/>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будівництво сміттєпереробного комплексу; </w:t>
      </w:r>
    </w:p>
    <w:p w:rsidR="00A82CF9" w:rsidRDefault="00FE1182">
      <w:pPr>
        <w:pStyle w:val="a9"/>
        <w:ind w:firstLine="567"/>
        <w:jc w:val="both"/>
        <w:rPr>
          <w:rFonts w:ascii="Times New Roman" w:hAnsi="Times New Roman"/>
          <w:color w:val="000000"/>
          <w:sz w:val="24"/>
          <w:szCs w:val="24"/>
          <w:lang w:eastAsia="uk-UA"/>
        </w:rPr>
      </w:pPr>
      <w:r>
        <w:rPr>
          <w:rFonts w:ascii="Times New Roman" w:hAnsi="Times New Roman"/>
          <w:color w:val="000000"/>
          <w:sz w:val="24"/>
          <w:szCs w:val="24"/>
          <w:lang w:eastAsia="uk-UA"/>
        </w:rPr>
        <w:t>вдосконалення системи роздільного збору та утилізації відходів ( в т.ч. будівельних відходів, побутової техніки, відходів лікувальних закладів, відходів рослинництва тощо);</w:t>
      </w:r>
    </w:p>
    <w:p w:rsidR="00A82CF9" w:rsidRDefault="00FE1182">
      <w:pPr>
        <w:pStyle w:val="a9"/>
        <w:ind w:firstLine="567"/>
        <w:jc w:val="both"/>
      </w:pPr>
      <w:r>
        <w:rPr>
          <w:rFonts w:ascii="Times New Roman" w:hAnsi="Times New Roman"/>
          <w:color w:val="000000"/>
          <w:sz w:val="24"/>
          <w:szCs w:val="24"/>
          <w:lang w:eastAsia="uk-UA"/>
        </w:rPr>
        <w:t>продовження започаткованої практики збирання небезпечних відходів, які утворюються в побуті</w:t>
      </w:r>
      <w:r>
        <w:t>;</w:t>
      </w:r>
    </w:p>
    <w:p w:rsidR="00A82CF9" w:rsidRDefault="00FE1182">
      <w:pPr>
        <w:pStyle w:val="a9"/>
        <w:ind w:firstLine="567"/>
        <w:jc w:val="both"/>
        <w:rPr>
          <w:rFonts w:ascii="Times New Roman" w:hAnsi="Times New Roman"/>
          <w:i/>
          <w:color w:val="000000"/>
          <w:sz w:val="24"/>
          <w:szCs w:val="24"/>
          <w:lang w:eastAsia="uk-UA"/>
        </w:rPr>
      </w:pPr>
      <w:r>
        <w:rPr>
          <w:rFonts w:ascii="Times New Roman" w:hAnsi="Times New Roman"/>
          <w:color w:val="000000"/>
          <w:sz w:val="24"/>
          <w:szCs w:val="24"/>
          <w:lang w:eastAsia="uk-UA"/>
        </w:rPr>
        <w:t>розробка місцевого плану управління відходами Хмельницької міської територіальної громади</w:t>
      </w:r>
      <w:r>
        <w:rPr>
          <w:rFonts w:ascii="Times New Roman" w:hAnsi="Times New Roman"/>
          <w:i/>
          <w:color w:val="000000"/>
          <w:sz w:val="24"/>
          <w:szCs w:val="24"/>
          <w:lang w:eastAsia="uk-UA"/>
        </w:rPr>
        <w:t>.</w:t>
      </w:r>
    </w:p>
    <w:p w:rsidR="00A82CF9" w:rsidRDefault="00A82CF9">
      <w:pPr>
        <w:pStyle w:val="a9"/>
        <w:ind w:firstLine="567"/>
        <w:jc w:val="both"/>
        <w:rPr>
          <w:rFonts w:ascii="Times New Roman" w:hAnsi="Times New Roman"/>
          <w:color w:val="000000"/>
          <w:sz w:val="24"/>
          <w:szCs w:val="24"/>
          <w:lang w:eastAsia="uk-UA"/>
        </w:rPr>
      </w:pPr>
    </w:p>
    <w:p w:rsidR="00A82CF9" w:rsidRDefault="00FE1182">
      <w:pPr>
        <w:pStyle w:val="a9"/>
        <w:jc w:val="center"/>
        <w:rPr>
          <w:rFonts w:ascii="Times New Roman" w:hAnsi="Times New Roman"/>
          <w:b/>
          <w:sz w:val="24"/>
          <w:szCs w:val="24"/>
        </w:rPr>
      </w:pPr>
      <w:r>
        <w:rPr>
          <w:rFonts w:ascii="Times New Roman" w:hAnsi="Times New Roman"/>
          <w:b/>
          <w:sz w:val="24"/>
          <w:szCs w:val="24"/>
          <w:lang w:eastAsia="uk-UA"/>
        </w:rPr>
        <w:t xml:space="preserve">2.5. </w:t>
      </w:r>
      <w:r>
        <w:rPr>
          <w:rFonts w:ascii="Times New Roman" w:hAnsi="Times New Roman"/>
          <w:b/>
          <w:sz w:val="24"/>
          <w:szCs w:val="24"/>
        </w:rPr>
        <w:t>Екологічна освіта та виховання. Співпраця з громадськістю</w:t>
      </w:r>
    </w:p>
    <w:p w:rsidR="00A82CF9" w:rsidRDefault="00A82CF9">
      <w:pPr>
        <w:pStyle w:val="a9"/>
        <w:jc w:val="both"/>
      </w:pP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Екологічна освіта та виховання є ключовими складовими формування екологічної культури населення, відповідального ставлення до навколишнього природного середовища та забезпечення сталого розвитку територіальної громади. Реалізація цього напряму спрямована на виховання відповідального ставлення до природних ресурсів, зменшення негативного впливу на довкілля та активну участь громадськості у природоохоронній діяльності.</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Найбільший вплив на формування особистості, в тому числі на екологічну свідомість, мають заклади дошкільної, середньої та вищої освіти. Також, суттєву роль у розвитку свідомості відіграють масові природоохоронні заходи місцевого рівня, які щороку організовуються та проводяться органами місцевого самоврядування, шкільними та вищими навчальними закладами, представниками підприємств, установ та організацій міста тощо.</w:t>
      </w:r>
    </w:p>
    <w:p w:rsidR="00A82CF9" w:rsidRDefault="00FE1182">
      <w:pPr>
        <w:pStyle w:val="a9"/>
        <w:ind w:firstLine="567"/>
        <w:jc w:val="both"/>
        <w:rPr>
          <w:rFonts w:ascii="Times New Roman" w:hAnsi="Times New Roman"/>
          <w:sz w:val="24"/>
          <w:szCs w:val="24"/>
        </w:rPr>
      </w:pPr>
      <w:r>
        <w:rPr>
          <w:rFonts w:ascii="Times New Roman" w:hAnsi="Times New Roman"/>
          <w:iCs/>
          <w:color w:val="000000"/>
          <w:sz w:val="24"/>
          <w:szCs w:val="24"/>
        </w:rPr>
        <w:t xml:space="preserve">Для підвищення рівня екологічної свідомості населення, в межах загальнонаціональних та місцевих екологічних ініціатив проводяться природоохоронні заходи, спрямовані на покращення стану навколишнього середовища, озеленення території громади та поширення екологічної освіти. </w:t>
      </w:r>
      <w:r>
        <w:rPr>
          <w:rFonts w:ascii="Times New Roman" w:hAnsi="Times New Roman"/>
          <w:sz w:val="24"/>
          <w:szCs w:val="24"/>
        </w:rPr>
        <w:t>Щороку у вересні проводяться заходи до Всесвітнього дня прибирання «World Cleanup Day» із залученням структурних підрозділів міської ради, комунальних підприємств та громадськості.</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З метою відзначення Дня води та </w:t>
      </w:r>
      <w:r>
        <w:rPr>
          <w:rFonts w:ascii="Times New Roman" w:hAnsi="Times New Roman"/>
          <w:sz w:val="24"/>
          <w:szCs w:val="24"/>
          <w:shd w:val="clear" w:color="auto" w:fill="FFFFFF"/>
        </w:rPr>
        <w:t xml:space="preserve">підвищення рівня обізнаності про значення і  важливість води в закладах </w:t>
      </w:r>
      <w:r>
        <w:rPr>
          <w:rFonts w:ascii="Times New Roman" w:hAnsi="Times New Roman"/>
          <w:sz w:val="24"/>
          <w:szCs w:val="24"/>
        </w:rPr>
        <w:t>освіти Хмельницької міської територіальної громади</w:t>
      </w:r>
      <w:r>
        <w:rPr>
          <w:rFonts w:ascii="Times New Roman" w:hAnsi="Times New Roman"/>
          <w:sz w:val="24"/>
          <w:szCs w:val="24"/>
          <w:shd w:val="clear" w:color="auto" w:fill="FFFFFF"/>
        </w:rPr>
        <w:t xml:space="preserve"> проведено виховні години, тематичні уроки щодо важливості води та збереження водних ресурсів. Також, поширено серед учнівської молоді відеоматеріали щодо наслідків потрапляння фосфатів до водойм.</w:t>
      </w:r>
    </w:p>
    <w:p w:rsidR="00A82CF9" w:rsidRDefault="00A82CF9">
      <w:pPr>
        <w:pStyle w:val="a9"/>
        <w:ind w:firstLine="567"/>
        <w:jc w:val="both"/>
        <w:rPr>
          <w:rFonts w:ascii="Times New Roman" w:hAnsi="Times New Roman"/>
          <w:sz w:val="24"/>
          <w:szCs w:val="24"/>
        </w:rPr>
      </w:pPr>
    </w:p>
    <w:p w:rsidR="00A82CF9" w:rsidRDefault="00FE1182">
      <w:pPr>
        <w:pStyle w:val="a9"/>
        <w:ind w:firstLine="567"/>
        <w:jc w:val="both"/>
        <w:rPr>
          <w:rFonts w:ascii="Times New Roman" w:hAnsi="Times New Roman"/>
          <w:sz w:val="24"/>
          <w:szCs w:val="24"/>
        </w:rPr>
      </w:pPr>
      <w:r>
        <w:rPr>
          <w:rFonts w:ascii="Times New Roman" w:hAnsi="Times New Roman"/>
          <w:iCs/>
          <w:color w:val="000000"/>
          <w:sz w:val="24"/>
          <w:szCs w:val="24"/>
        </w:rPr>
        <w:t xml:space="preserve">Через засоби масової інформації систематично здійснюється інформаційно-роз’яснювальна робота щодо дотримання Правил благоустрою на території громади, </w:t>
      </w:r>
      <w:r>
        <w:rPr>
          <w:rFonts w:ascii="Times New Roman" w:hAnsi="Times New Roman"/>
          <w:sz w:val="24"/>
          <w:szCs w:val="24"/>
        </w:rPr>
        <w:t>недопущення попадання господарсько-побутових стоків через мережу зливової каналізації у водойми, заборону спалювання залишків сухої рослинності та відходів, торгівлі первоцвітами, ловлі риби під час нересту тощо. З метою проведення екологічної роз’яснювальної кампанії поширено в громадсьому транспорті відео матеріалів про заборону спалювання.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Інформація щодо стану довкілля, благоустрою території громади, постійно висвітлюється на сайті Хмельницької міської ради,  в соціальній мережі Фейсбук.</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Розпочато внесення інформації до геопросторової бази даних щодо стану атмосферного повітря та  стану поверхневих вод (р.Південний Буг).</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Основними напрямами екологічної освіти та виховання у громаді є:</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-інтеграція екологічної тематики в освітній процес закладів дошкільної, загальної середньої, позашкільної та професійної освіти Хмельницької міської територіальної  громади;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проведення міських та локальних еколого-просвітницьких заходів, акцій, конкурсів, інформаційних кампаній, присвячених охороні довкілля, поводженню з відходами, енергоефективності та збереженню зелених зон;</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формування навичок екологічно відповідальної поведінки населення, у тому числі культури роздільного збирання відходів, ощадливого використання водних та енергетичних ресурсів;</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підтримка ініціатив, спрямованих на залучення дітей і молоді до практичної природоохоронної діяльності.</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Залучення громадськості до екологічного управління є важливою умовою не лише підвищення ефективності екологічної політики, а й формування культури екологічної відповідальності в суспільстві. Активна участь громадян у прийнятті екологічно значущих рішень сприяє зміцненню демократичних засад і забезпеченню більшої прозорості в екологічному управлінні.</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Разом із тим, одним з основних викликів залишається низький рівень громадської підтримки природоохоронних ініціатив серед населення, особливо в умовах пріоритетності воєнних, соціальних та економічних проблем.</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Реалізація заходів з екологічної освіти, виховання та співпраці з громадськістю сприятиме підвищенню рівня екологічної свідомості мешканців Хмельницької міської територіальної громади, активізації участі громадян у природоохоронній діяльності та покращенню якості навколишнього природного середовища.</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Пріоритетними завданнями даного напрямку є:</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проведення спільних природоохоронних заходів, акцій в тому числі на базі навчальних закладів громади;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розповсюдження соціальної реклами;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інформування населення про важливість збереження довкілля;</w:t>
      </w:r>
    </w:p>
    <w:p w:rsidR="00A82CF9" w:rsidRDefault="00FE1182">
      <w:pPr>
        <w:pStyle w:val="a9"/>
        <w:ind w:firstLine="567"/>
        <w:jc w:val="both"/>
        <w:rPr>
          <w:rFonts w:ascii="Times New Roman" w:hAnsi="Times New Roman"/>
          <w:b/>
          <w:sz w:val="24"/>
          <w:szCs w:val="24"/>
          <w:lang w:eastAsia="uk-UA"/>
        </w:rPr>
      </w:pPr>
      <w:r>
        <w:rPr>
          <w:rFonts w:ascii="Times New Roman" w:hAnsi="Times New Roman"/>
          <w:sz w:val="24"/>
          <w:szCs w:val="24"/>
        </w:rPr>
        <w:t>формування доступної системи інформування населення про стан довкілля.</w:t>
      </w:r>
    </w:p>
    <w:p w:rsidR="00A82CF9" w:rsidRDefault="00FE1182">
      <w:pPr>
        <w:pStyle w:val="rvps2"/>
        <w:spacing w:after="150"/>
        <w:jc w:val="center"/>
        <w:rPr>
          <w:rStyle w:val="spanrvts0"/>
          <w:b/>
          <w:lang w:val="uk" w:eastAsia="uk"/>
        </w:rPr>
      </w:pPr>
      <w:r>
        <w:rPr>
          <w:rStyle w:val="spanrvts0"/>
          <w:b/>
          <w:lang w:val="uk" w:eastAsia="uk"/>
        </w:rPr>
        <w:t>3. Мета Програми</w:t>
      </w:r>
    </w:p>
    <w:p w:rsidR="00A82CF9" w:rsidRDefault="00FE1182">
      <w:pPr>
        <w:pStyle w:val="a9"/>
        <w:ind w:firstLine="567"/>
        <w:jc w:val="both"/>
        <w:rPr>
          <w:rFonts w:ascii="Times New Roman" w:hAnsi="Times New Roman"/>
          <w:sz w:val="24"/>
          <w:szCs w:val="24"/>
        </w:rPr>
      </w:pPr>
      <w:r>
        <w:rPr>
          <w:rStyle w:val="spanrvts0"/>
          <w:rFonts w:eastAsia="Calibri"/>
          <w:lang w:val="uk" w:eastAsia="uk"/>
        </w:rPr>
        <w:t xml:space="preserve">Метою Програми є здійснення </w:t>
      </w:r>
      <w:r>
        <w:rPr>
          <w:rFonts w:ascii="Times New Roman" w:hAnsi="Times New Roman"/>
          <w:sz w:val="24"/>
          <w:szCs w:val="24"/>
        </w:rPr>
        <w:t xml:space="preserve">на території Хмельницької міської територіальної громади </w:t>
      </w:r>
      <w:r>
        <w:rPr>
          <w:rStyle w:val="spanrvts0"/>
          <w:rFonts w:eastAsia="Calibri"/>
          <w:lang w:val="uk" w:eastAsia="uk"/>
        </w:rPr>
        <w:t xml:space="preserve">заходів у галузі охорони довкілля та раціонального використання природних ресурсів, в тому числі в рамках повоєнного відновлення, запобігання негативним наслідкам для довкілля та ліквідація таких наслідків, а також </w:t>
      </w:r>
      <w:r>
        <w:rPr>
          <w:rFonts w:ascii="Times New Roman" w:hAnsi="Times New Roman"/>
          <w:sz w:val="24"/>
          <w:szCs w:val="24"/>
        </w:rPr>
        <w:t>формування в жителів громади екологічної культури.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Програмою визначені пріоритетні напрямки та комплекс заходів щодо охорони та поліпшення стану довкілля </w:t>
      </w:r>
      <w:r>
        <w:rPr>
          <w:rFonts w:ascii="Times New Roman" w:hAnsi="Times New Roman"/>
          <w:color w:val="000000"/>
          <w:sz w:val="24"/>
          <w:szCs w:val="24"/>
        </w:rPr>
        <w:t xml:space="preserve">Хмельницької </w:t>
      </w:r>
      <w:r>
        <w:rPr>
          <w:rFonts w:ascii="Times New Roman" w:hAnsi="Times New Roman"/>
          <w:sz w:val="24"/>
          <w:szCs w:val="24"/>
        </w:rPr>
        <w:t>міської територіальної громади.</w:t>
      </w:r>
    </w:p>
    <w:p w:rsidR="00A82CF9" w:rsidRDefault="00FE1182">
      <w:pPr>
        <w:pStyle w:val="a9"/>
        <w:ind w:firstLine="567"/>
        <w:jc w:val="both"/>
        <w:rPr>
          <w:rFonts w:ascii="Times New Roman" w:hAnsi="Times New Roman"/>
          <w:sz w:val="24"/>
          <w:szCs w:val="24"/>
          <w:lang w:eastAsia="uk-UA"/>
        </w:rPr>
      </w:pPr>
      <w:r>
        <w:rPr>
          <w:rFonts w:ascii="Times New Roman" w:hAnsi="Times New Roman"/>
          <w:sz w:val="24"/>
          <w:szCs w:val="24"/>
          <w:lang w:eastAsia="uk-UA"/>
        </w:rPr>
        <w:t>Враховуючи сучасну екологічну ситуацію, для досягнення мети  необхідно реалізувати першочергові заходи в ключових напрямках :</w:t>
      </w:r>
    </w:p>
    <w:p w:rsidR="00A82CF9" w:rsidRDefault="00FE1182">
      <w:pPr>
        <w:pStyle w:val="a9"/>
        <w:ind w:firstLine="567"/>
        <w:jc w:val="both"/>
        <w:rPr>
          <w:rFonts w:ascii="Times New Roman" w:hAnsi="Times New Roman"/>
          <w:sz w:val="24"/>
          <w:szCs w:val="24"/>
        </w:rPr>
      </w:pPr>
      <w:r>
        <w:rPr>
          <w:rStyle w:val="spanrvts0"/>
          <w:rFonts w:eastAsia="Calibri"/>
          <w:lang w:val="uk" w:eastAsia="uk"/>
        </w:rPr>
        <w:t>покращення якості  атмосферного повітря та кліматична політика: пом'якшення та адаптація до зміни клімату</w:t>
      </w:r>
      <w:r>
        <w:rPr>
          <w:rFonts w:ascii="Times New Roman" w:hAnsi="Times New Roman"/>
          <w:sz w:val="24"/>
          <w:szCs w:val="24"/>
        </w:rPr>
        <w:t>покращення якості  атмосферного повітря;</w:t>
      </w:r>
    </w:p>
    <w:p w:rsidR="00A82CF9" w:rsidRDefault="00FE1182">
      <w:pPr>
        <w:pStyle w:val="a9"/>
        <w:ind w:firstLine="567"/>
        <w:jc w:val="both"/>
        <w:rPr>
          <w:rFonts w:ascii="Times New Roman" w:hAnsi="Times New Roman"/>
          <w:sz w:val="24"/>
          <w:szCs w:val="24"/>
        </w:rPr>
      </w:pPr>
      <w:r>
        <w:rPr>
          <w:rStyle w:val="spanrvts0"/>
          <w:rFonts w:eastAsia="Calibri"/>
          <w:lang w:val="uk" w:eastAsia="uk"/>
        </w:rPr>
        <w:t>ефективне управління відходами;</w:t>
      </w:r>
    </w:p>
    <w:p w:rsidR="00A82CF9" w:rsidRDefault="00FE1182">
      <w:pPr>
        <w:pStyle w:val="a9"/>
        <w:ind w:firstLine="567"/>
        <w:jc w:val="both"/>
        <w:rPr>
          <w:rFonts w:ascii="Times New Roman" w:hAnsi="Times New Roman"/>
          <w:sz w:val="24"/>
          <w:szCs w:val="24"/>
          <w:lang w:val="uk" w:eastAsia="uk"/>
        </w:rPr>
      </w:pPr>
      <w:r>
        <w:rPr>
          <w:rFonts w:ascii="Times New Roman" w:hAnsi="Times New Roman"/>
          <w:sz w:val="24"/>
          <w:szCs w:val="24"/>
        </w:rPr>
        <w:t>охорона і раціональне використання зелених насаджень, збереження природно-заповідного фонду;</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охорона та раціональне використання водних ресурсів;</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екологічна освіта та виховання, співпраця з громадськістю.</w:t>
      </w:r>
    </w:p>
    <w:p w:rsidR="00A82CF9" w:rsidRDefault="00FE1182">
      <w:pPr>
        <w:pStyle w:val="a9"/>
        <w:ind w:firstLine="567"/>
        <w:jc w:val="both"/>
        <w:rPr>
          <w:rFonts w:ascii="Times New Roman" w:hAnsi="Times New Roman"/>
          <w:sz w:val="24"/>
          <w:szCs w:val="24"/>
        </w:rPr>
      </w:pPr>
      <w:r>
        <w:rPr>
          <w:rFonts w:ascii="Times New Roman" w:hAnsi="Times New Roman"/>
          <w:sz w:val="24"/>
          <w:szCs w:val="24"/>
          <w:lang w:eastAsia="uk-UA"/>
        </w:rPr>
        <w:t>Виконання передбачених Програмою природоохоронних заходів можливе лише за умови сприяння їх реалізації з боку органів місцевого самоврядування, керівників підприємств, установ і організацій, громадських організацій та населення громади.</w:t>
      </w:r>
    </w:p>
    <w:p w:rsidR="00A82CF9" w:rsidRDefault="00FE1182">
      <w:pPr>
        <w:pStyle w:val="rvps2"/>
        <w:spacing w:after="150"/>
        <w:jc w:val="center"/>
        <w:rPr>
          <w:rStyle w:val="spanrvts0"/>
          <w:b/>
          <w:lang w:val="uk" w:eastAsia="uk"/>
        </w:rPr>
      </w:pPr>
      <w:bookmarkStart w:id="1" w:name="n21"/>
      <w:bookmarkStart w:id="2" w:name="n22"/>
      <w:bookmarkEnd w:id="1"/>
      <w:bookmarkEnd w:id="2"/>
      <w:r>
        <w:rPr>
          <w:rStyle w:val="spanrvts0"/>
          <w:b/>
          <w:lang w:val="uk" w:eastAsia="uk"/>
        </w:rPr>
        <w:t>4</w:t>
      </w:r>
      <w:r>
        <w:rPr>
          <w:rStyle w:val="spanrvts0"/>
          <w:b/>
          <w:lang w:eastAsia="uk"/>
        </w:rPr>
        <w:t>.</w:t>
      </w:r>
      <w:r>
        <w:rPr>
          <w:rStyle w:val="spanrvts0"/>
          <w:b/>
          <w:lang w:val="uk" w:eastAsia="uk"/>
        </w:rPr>
        <w:t xml:space="preserve"> </w:t>
      </w:r>
      <w:r>
        <w:rPr>
          <w:rStyle w:val="spanrvts0"/>
          <w:b/>
          <w:lang w:val="uk-UA" w:eastAsia="uk"/>
        </w:rPr>
        <w:t>З</w:t>
      </w:r>
      <w:r>
        <w:rPr>
          <w:rStyle w:val="spanrvts0"/>
          <w:b/>
          <w:lang w:val="uk" w:eastAsia="uk"/>
        </w:rPr>
        <w:t>авдання і заходи</w:t>
      </w:r>
    </w:p>
    <w:p w:rsidR="00A82CF9" w:rsidRDefault="00FE1182">
      <w:pPr>
        <w:pStyle w:val="a9"/>
        <w:ind w:firstLine="567"/>
        <w:jc w:val="both"/>
        <w:rPr>
          <w:rFonts w:ascii="Times New Roman" w:hAnsi="Times New Roman"/>
          <w:color w:val="000000"/>
          <w:sz w:val="24"/>
          <w:szCs w:val="24"/>
          <w:lang w:eastAsia="uk-UA"/>
        </w:rPr>
      </w:pPr>
      <w:r>
        <w:rPr>
          <w:rStyle w:val="spanrvts0"/>
          <w:rFonts w:eastAsia="Calibri"/>
          <w:lang w:val="uk" w:eastAsia="uk"/>
        </w:rPr>
        <w:t>Перелік завдань і заходів, що пропонується реалізувати в ході виконання Програми і спрямувати на розв'язання проблем та досягнення стратегічних цілей Програми</w:t>
      </w:r>
      <w:r>
        <w:rPr>
          <w:rFonts w:ascii="Times New Roman" w:hAnsi="Times New Roman"/>
          <w:color w:val="000000"/>
          <w:sz w:val="24"/>
          <w:szCs w:val="24"/>
          <w:lang w:eastAsia="uk-UA"/>
        </w:rPr>
        <w:t xml:space="preserve"> представлено в табличній формі  в Додатку 1.</w:t>
      </w:r>
    </w:p>
    <w:p w:rsidR="00A82CF9" w:rsidRDefault="00A82CF9">
      <w:pPr>
        <w:pStyle w:val="a9"/>
        <w:ind w:firstLine="567"/>
        <w:jc w:val="both"/>
        <w:rPr>
          <w:rFonts w:ascii="Times New Roman" w:hAnsi="Times New Roman"/>
          <w:color w:val="000000"/>
          <w:sz w:val="24"/>
          <w:szCs w:val="24"/>
          <w:lang w:eastAsia="uk-UA"/>
        </w:rPr>
      </w:pPr>
    </w:p>
    <w:p w:rsidR="00A82CF9" w:rsidRDefault="00FE1182">
      <w:pPr>
        <w:pStyle w:val="rvps2"/>
        <w:spacing w:after="150"/>
        <w:jc w:val="center"/>
        <w:rPr>
          <w:rStyle w:val="spanrvts0"/>
          <w:b/>
          <w:lang w:val="uk" w:eastAsia="uk"/>
        </w:rPr>
      </w:pPr>
      <w:bookmarkStart w:id="3" w:name="n23"/>
      <w:bookmarkEnd w:id="3"/>
      <w:r>
        <w:rPr>
          <w:rStyle w:val="spanrvts0"/>
          <w:b/>
          <w:lang w:eastAsia="uk"/>
        </w:rPr>
        <w:t xml:space="preserve">5. </w:t>
      </w:r>
      <w:r>
        <w:rPr>
          <w:rStyle w:val="spanrvts0"/>
          <w:b/>
          <w:lang w:val="uk-UA" w:eastAsia="uk"/>
        </w:rPr>
        <w:t>О</w:t>
      </w:r>
      <w:r>
        <w:rPr>
          <w:rStyle w:val="spanrvts0"/>
          <w:b/>
          <w:lang w:val="uk" w:eastAsia="uk"/>
        </w:rPr>
        <w:t>чікувані результати виконання Програми, ефективність реалізації</w:t>
      </w:r>
      <w:bookmarkStart w:id="4" w:name="n24"/>
      <w:bookmarkEnd w:id="4"/>
    </w:p>
    <w:p w:rsidR="00A82CF9" w:rsidRDefault="00FE1182">
      <w:pPr>
        <w:pStyle w:val="a9"/>
        <w:ind w:firstLine="567"/>
        <w:jc w:val="both"/>
        <w:rPr>
          <w:rFonts w:ascii="Times New Roman" w:hAnsi="Times New Roman"/>
          <w:sz w:val="24"/>
          <w:szCs w:val="24"/>
        </w:rPr>
      </w:pPr>
      <w:r>
        <w:rPr>
          <w:rFonts w:ascii="Times New Roman" w:hAnsi="Times New Roman"/>
          <w:sz w:val="24"/>
          <w:szCs w:val="24"/>
        </w:rPr>
        <w:t>Реалізація Програми охорони довкілля Хмельницької міської територіальної громади на 2025-2030 роки сприятиме забезпеченню екологічної безпеки, покращенню стану навколишнього природного середовища та підвищенню якості життя населення.</w:t>
      </w:r>
    </w:p>
    <w:p w:rsidR="00A82CF9" w:rsidRDefault="00FE1182">
      <w:pPr>
        <w:pStyle w:val="a9"/>
        <w:jc w:val="both"/>
        <w:rPr>
          <w:rFonts w:ascii="Times New Roman" w:hAnsi="Times New Roman"/>
          <w:sz w:val="24"/>
          <w:szCs w:val="24"/>
        </w:rPr>
      </w:pPr>
      <w:r>
        <w:rPr>
          <w:rFonts w:ascii="Times New Roman" w:hAnsi="Times New Roman"/>
          <w:sz w:val="24"/>
          <w:szCs w:val="24"/>
        </w:rPr>
        <w:t>Внаслідок виконання запланованих заходів очікується:</w:t>
      </w:r>
    </w:p>
    <w:p w:rsidR="00A82CF9" w:rsidRDefault="00FE1182">
      <w:pPr>
        <w:pStyle w:val="a9"/>
        <w:ind w:firstLine="567"/>
        <w:jc w:val="both"/>
        <w:rPr>
          <w:rFonts w:ascii="Times New Roman" w:hAnsi="Times New Roman"/>
          <w:sz w:val="24"/>
          <w:szCs w:val="24"/>
        </w:rPr>
      </w:pPr>
      <w:r>
        <w:rPr>
          <w:rStyle w:val="a7"/>
          <w:rFonts w:ascii="Times New Roman" w:hAnsi="Times New Roman"/>
          <w:sz w:val="24"/>
          <w:szCs w:val="24"/>
        </w:rPr>
        <w:t>Покращення якості природного середовища:</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зменшення рівня забруднення  атмосферного повітря, поверхневих та підземних вод;</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поліпшення санітарного стану водних об'єктів, зокрема річки Південний Буг, Плоска, Кудрянка  та інших;</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скорочення обсягів утворення, накопичення та несанкціонованого розміщення відходів;</w:t>
      </w:r>
    </w:p>
    <w:p w:rsidR="00A82CF9" w:rsidRDefault="00FE1182">
      <w:pPr>
        <w:pStyle w:val="a5"/>
        <w:spacing w:before="0" w:beforeAutospacing="0" w:after="0" w:afterAutospacing="0"/>
        <w:ind w:firstLine="567"/>
        <w:jc w:val="both"/>
        <w:rPr>
          <w:bCs/>
          <w:i/>
          <w:color w:val="000000"/>
          <w:shd w:val="clear" w:color="auto" w:fill="FFFFFF"/>
        </w:rPr>
      </w:pPr>
      <w:r>
        <w:rPr>
          <w:color w:val="000000"/>
        </w:rPr>
        <w:t>створення умов щодо подолання негативних наслідків змін клімату</w:t>
      </w:r>
      <w:r>
        <w:rPr>
          <w:i/>
          <w:color w:val="000000"/>
        </w:rPr>
        <w:t>;</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підвищення рівня озеленення територій, збільшення площі зелених насаджень загального користування.</w:t>
      </w:r>
    </w:p>
    <w:p w:rsidR="00A82CF9" w:rsidRDefault="00FE1182">
      <w:pPr>
        <w:pStyle w:val="a9"/>
        <w:ind w:firstLine="567"/>
        <w:jc w:val="both"/>
        <w:rPr>
          <w:rStyle w:val="a7"/>
          <w:rFonts w:ascii="Times New Roman" w:hAnsi="Times New Roman"/>
          <w:sz w:val="24"/>
          <w:szCs w:val="24"/>
        </w:rPr>
      </w:pPr>
      <w:r>
        <w:rPr>
          <w:rStyle w:val="a7"/>
          <w:rFonts w:ascii="Times New Roman" w:hAnsi="Times New Roman"/>
          <w:sz w:val="24"/>
          <w:szCs w:val="24"/>
        </w:rPr>
        <w:t>Раціональне використання природних ресурсів:</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зменшення споживання енергоресурсів;</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підтримка розвитку відновлюваних джерел енергії.</w:t>
      </w:r>
    </w:p>
    <w:p w:rsidR="00A82CF9" w:rsidRDefault="00FE1182">
      <w:pPr>
        <w:pStyle w:val="a9"/>
        <w:ind w:firstLine="567"/>
        <w:jc w:val="both"/>
        <w:rPr>
          <w:rFonts w:ascii="Times New Roman" w:hAnsi="Times New Roman"/>
          <w:sz w:val="24"/>
          <w:szCs w:val="24"/>
        </w:rPr>
      </w:pPr>
      <w:r>
        <w:rPr>
          <w:rStyle w:val="a7"/>
          <w:rFonts w:ascii="Times New Roman" w:hAnsi="Times New Roman"/>
          <w:sz w:val="24"/>
          <w:szCs w:val="24"/>
        </w:rPr>
        <w:t>Покращення стану екологічної інфраструктури: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модернізація систем очищення стічних вод, водопостачання та водовідведення.</w:t>
      </w:r>
    </w:p>
    <w:p w:rsidR="00A82CF9" w:rsidRDefault="00FE1182">
      <w:pPr>
        <w:pStyle w:val="a9"/>
        <w:ind w:firstLine="567"/>
        <w:jc w:val="both"/>
        <w:rPr>
          <w:rFonts w:ascii="Times New Roman" w:hAnsi="Times New Roman"/>
          <w:sz w:val="24"/>
          <w:szCs w:val="24"/>
        </w:rPr>
      </w:pPr>
      <w:r>
        <w:rPr>
          <w:rStyle w:val="a7"/>
          <w:rFonts w:ascii="Times New Roman" w:hAnsi="Times New Roman"/>
          <w:sz w:val="24"/>
          <w:szCs w:val="24"/>
        </w:rPr>
        <w:t>Посилення управлінського та громадського контролю</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удосконалення системи екологічного моніторингу на території громади;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підвищення прозорості та відкритості екологічної інформації;</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активізація участі громадськості у вирішенні питань охорони довкілля.</w:t>
      </w:r>
    </w:p>
    <w:p w:rsidR="00A82CF9" w:rsidRDefault="00FE1182">
      <w:pPr>
        <w:pStyle w:val="a9"/>
        <w:ind w:firstLine="567"/>
        <w:jc w:val="both"/>
        <w:rPr>
          <w:rFonts w:ascii="Times New Roman" w:hAnsi="Times New Roman"/>
          <w:sz w:val="24"/>
          <w:szCs w:val="24"/>
        </w:rPr>
      </w:pPr>
      <w:r>
        <w:rPr>
          <w:rStyle w:val="a7"/>
          <w:rFonts w:ascii="Times New Roman" w:hAnsi="Times New Roman"/>
          <w:sz w:val="24"/>
          <w:szCs w:val="24"/>
        </w:rPr>
        <w:t>Формування екологічної культури</w:t>
      </w:r>
    </w:p>
    <w:p w:rsidR="00A82CF9" w:rsidRDefault="00FE1182">
      <w:pPr>
        <w:pStyle w:val="a5"/>
        <w:spacing w:before="0" w:beforeAutospacing="0" w:after="0" w:afterAutospacing="0"/>
        <w:ind w:left="567"/>
        <w:jc w:val="both"/>
        <w:rPr>
          <w:bCs/>
          <w:shd w:val="clear" w:color="auto" w:fill="FFFFFF"/>
        </w:rPr>
      </w:pPr>
      <w:r>
        <w:rPr>
          <w:bCs/>
          <w:shd w:val="clear" w:color="auto" w:fill="FFFFFF"/>
        </w:rPr>
        <w:t>покращення екологічної освіти;</w:t>
      </w:r>
    </w:p>
    <w:p w:rsidR="00A82CF9" w:rsidRDefault="00FE1182">
      <w:pPr>
        <w:pStyle w:val="a9"/>
        <w:ind w:firstLine="567"/>
        <w:jc w:val="both"/>
        <w:rPr>
          <w:bCs/>
          <w:shd w:val="clear" w:color="auto" w:fill="FFFFFF"/>
        </w:rPr>
      </w:pPr>
      <w:r>
        <w:rPr>
          <w:rFonts w:ascii="Times New Roman" w:hAnsi="Times New Roman"/>
          <w:sz w:val="24"/>
          <w:szCs w:val="24"/>
        </w:rPr>
        <w:t>формування відповідального ставлення до природи;</w:t>
      </w:r>
    </w:p>
    <w:p w:rsidR="00A82CF9" w:rsidRDefault="00FE1182">
      <w:pPr>
        <w:pStyle w:val="a5"/>
        <w:spacing w:before="0" w:beforeAutospacing="0" w:after="0" w:afterAutospacing="0"/>
        <w:ind w:left="567"/>
        <w:jc w:val="both"/>
        <w:rPr>
          <w:bCs/>
          <w:shd w:val="clear" w:color="auto" w:fill="FFFFFF"/>
        </w:rPr>
      </w:pPr>
      <w:r>
        <w:rPr>
          <w:bCs/>
          <w:shd w:val="clear" w:color="auto" w:fill="FFFFFF"/>
        </w:rPr>
        <w:t>підвищення екологічної свідомості громадян.</w:t>
      </w:r>
    </w:p>
    <w:p w:rsidR="00A82CF9" w:rsidRDefault="00FE1182">
      <w:pPr>
        <w:pStyle w:val="a9"/>
        <w:ind w:firstLine="567"/>
        <w:jc w:val="both"/>
        <w:rPr>
          <w:rFonts w:ascii="Times New Roman" w:hAnsi="Times New Roman"/>
          <w:sz w:val="24"/>
          <w:szCs w:val="24"/>
        </w:rPr>
      </w:pPr>
      <w:r>
        <w:rPr>
          <w:rStyle w:val="a7"/>
          <w:rFonts w:ascii="Times New Roman" w:hAnsi="Times New Roman"/>
          <w:sz w:val="24"/>
          <w:szCs w:val="24"/>
        </w:rPr>
        <w:t>Соціально-економічні ефекти:</w:t>
      </w:r>
    </w:p>
    <w:p w:rsidR="00A82CF9" w:rsidRDefault="00FE1182">
      <w:pPr>
        <w:pStyle w:val="a5"/>
        <w:spacing w:before="0" w:beforeAutospacing="0" w:after="0" w:afterAutospacing="0"/>
        <w:ind w:left="567"/>
        <w:jc w:val="both"/>
        <w:rPr>
          <w:bCs/>
          <w:shd w:val="clear" w:color="auto" w:fill="FFFFFF"/>
        </w:rPr>
      </w:pPr>
      <w:r>
        <w:rPr>
          <w:bCs/>
          <w:shd w:val="clear" w:color="auto" w:fill="FFFFFF"/>
        </w:rPr>
        <w:t xml:space="preserve">створення комфортних умов для </w:t>
      </w:r>
      <w:r>
        <w:rPr>
          <w:bCs/>
          <w:color w:val="000000"/>
          <w:shd w:val="clear" w:color="auto" w:fill="FFFFFF"/>
        </w:rPr>
        <w:t>проживання та відпочинку населення</w:t>
      </w:r>
      <w:r>
        <w:rPr>
          <w:bCs/>
          <w:shd w:val="clear" w:color="auto" w:fill="FFFFFF"/>
        </w:rPr>
        <w:t>.</w:t>
      </w:r>
    </w:p>
    <w:p w:rsidR="00A82CF9" w:rsidRDefault="00FE1182">
      <w:pPr>
        <w:pStyle w:val="rvps2"/>
        <w:spacing w:after="150"/>
        <w:jc w:val="center"/>
        <w:rPr>
          <w:rStyle w:val="spanrvts0"/>
          <w:b/>
          <w:lang w:val="uk" w:eastAsia="uk"/>
        </w:rPr>
      </w:pPr>
      <w:r>
        <w:rPr>
          <w:rStyle w:val="spanrvts0"/>
          <w:b/>
          <w:lang w:eastAsia="uk"/>
        </w:rPr>
        <w:t xml:space="preserve">6. </w:t>
      </w:r>
      <w:r>
        <w:rPr>
          <w:rStyle w:val="spanrvts0"/>
          <w:b/>
          <w:lang w:val="uk-UA" w:eastAsia="uk"/>
        </w:rPr>
        <w:t>О</w:t>
      </w:r>
      <w:r>
        <w:rPr>
          <w:rStyle w:val="spanrvts0"/>
          <w:b/>
          <w:lang w:val="uk" w:eastAsia="uk"/>
        </w:rPr>
        <w:t>бсяги та джерела фінансування</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 xml:space="preserve">Джерелами фінансування виконання заходів Програми є кошти: обласного бюджету та бюджету громади, в тому числі природоохоронного фонду; підприємств, установ та організацій; інші джерела фінансування не заборонені законодавством (добровільні внески, інвестиції, грантові кошти тощо). </w:t>
      </w:r>
    </w:p>
    <w:p w:rsidR="00A82CF9" w:rsidRDefault="00FE1182">
      <w:pPr>
        <w:pStyle w:val="a9"/>
        <w:ind w:firstLine="567"/>
        <w:jc w:val="both"/>
        <w:rPr>
          <w:rFonts w:ascii="Times New Roman" w:hAnsi="Times New Roman"/>
          <w:bCs/>
          <w:sz w:val="24"/>
          <w:szCs w:val="24"/>
          <w:shd w:val="clear" w:color="auto" w:fill="FFFFFF"/>
        </w:rPr>
      </w:pPr>
      <w:r>
        <w:rPr>
          <w:rFonts w:ascii="Times New Roman" w:hAnsi="Times New Roman"/>
          <w:sz w:val="24"/>
          <w:szCs w:val="24"/>
        </w:rPr>
        <w:t>Кошти фонду охорони навколишнього природного середовища Хмельницької міської територіальної громади використовуються для цільового фінансування щорічного переліку природоохоронних заходів, які реалізуються на території громади та відповідають видам діяльності, що належать до затверджених постановою Кабінету Міністрів України від 17.09.1996 року  № 1147 «</w:t>
      </w:r>
      <w:r>
        <w:rPr>
          <w:rFonts w:ascii="Times New Roman" w:hAnsi="Times New Roman"/>
          <w:bCs/>
          <w:sz w:val="24"/>
          <w:szCs w:val="24"/>
          <w:shd w:val="clear" w:color="auto" w:fill="FFFFFF"/>
        </w:rPr>
        <w:t xml:space="preserve">Про затвердження переліку видів діяльності, що належать до природоохоронних заходів» (із змінами). </w:t>
      </w:r>
    </w:p>
    <w:p w:rsidR="00A82CF9" w:rsidRDefault="00FE1182">
      <w:pPr>
        <w:pStyle w:val="a9"/>
        <w:ind w:firstLine="567"/>
        <w:jc w:val="both"/>
        <w:rPr>
          <w:rStyle w:val="spanrvts0"/>
          <w:rFonts w:eastAsia="Calibri"/>
          <w:b/>
          <w:lang w:val="uk" w:eastAsia="uk"/>
        </w:rPr>
      </w:pPr>
      <w:r>
        <w:rPr>
          <w:rFonts w:ascii="Times New Roman" w:hAnsi="Times New Roman"/>
          <w:sz w:val="24"/>
          <w:szCs w:val="24"/>
        </w:rPr>
        <w:t xml:space="preserve">            </w:t>
      </w:r>
    </w:p>
    <w:p w:rsidR="00A82CF9" w:rsidRDefault="00FE1182">
      <w:pPr>
        <w:pStyle w:val="rvps2"/>
        <w:spacing w:after="150"/>
        <w:jc w:val="center"/>
        <w:rPr>
          <w:rStyle w:val="spanrvts0"/>
          <w:b/>
          <w:lang w:val="uk" w:eastAsia="uk"/>
        </w:rPr>
      </w:pPr>
      <w:bookmarkStart w:id="5" w:name="n25"/>
      <w:bookmarkEnd w:id="5"/>
      <w:r>
        <w:rPr>
          <w:rStyle w:val="spanrvts0"/>
          <w:b/>
          <w:lang w:eastAsia="uk"/>
        </w:rPr>
        <w:t xml:space="preserve">7. </w:t>
      </w:r>
      <w:r>
        <w:rPr>
          <w:rStyle w:val="spanrvts0"/>
          <w:b/>
          <w:lang w:val="uk-UA" w:eastAsia="uk"/>
        </w:rPr>
        <w:t>К</w:t>
      </w:r>
      <w:r>
        <w:rPr>
          <w:rStyle w:val="spanrvts0"/>
          <w:b/>
          <w:lang w:val="uk" w:eastAsia="uk"/>
        </w:rPr>
        <w:t>оординація та контроль за ходом виконання Програми.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Організація виконання Програми покладається на управління з питань екології та контролю за благоустроєм Хмельницької міської ради. Управління забезпечує щоквартальний моніторинг виконання заходів Програми.</w:t>
      </w:r>
    </w:p>
    <w:p w:rsidR="00A82CF9" w:rsidRDefault="00FE1182">
      <w:pPr>
        <w:pStyle w:val="a9"/>
        <w:ind w:firstLine="567"/>
        <w:jc w:val="both"/>
        <w:rPr>
          <w:rFonts w:ascii="Times New Roman" w:hAnsi="Times New Roman"/>
          <w:color w:val="000000"/>
          <w:sz w:val="24"/>
          <w:szCs w:val="24"/>
        </w:rPr>
      </w:pPr>
      <w:r>
        <w:rPr>
          <w:rFonts w:ascii="Times New Roman" w:hAnsi="Times New Roman"/>
          <w:sz w:val="24"/>
          <w:szCs w:val="24"/>
        </w:rPr>
        <w:t>Відповідальні виконавці забезпечують виконання заходів, визначених даною Програмою, та щоквартально інформують про хід виконання заходів управління з питань екології та контролю за благоустроєм Хмельницької міської ради</w:t>
      </w:r>
      <w:r>
        <w:rPr>
          <w:rFonts w:ascii="Times New Roman" w:hAnsi="Times New Roman"/>
          <w:color w:val="000000"/>
          <w:sz w:val="24"/>
          <w:szCs w:val="24"/>
        </w:rPr>
        <w:t>,  яке у свою чергу  забезпечує узагальнення, аналіз та інформування  населення  (раз на пів року) шляхом розміщення звітної інформації на офіційному сайті Хмельницької міської ради.</w:t>
      </w:r>
    </w:p>
    <w:p w:rsidR="00A82CF9" w:rsidRDefault="00FE1182">
      <w:pPr>
        <w:pStyle w:val="a9"/>
        <w:ind w:firstLine="567"/>
        <w:jc w:val="both"/>
        <w:rPr>
          <w:rFonts w:ascii="Times New Roman" w:hAnsi="Times New Roman"/>
          <w:sz w:val="24"/>
          <w:szCs w:val="24"/>
        </w:rPr>
      </w:pPr>
      <w:r>
        <w:rPr>
          <w:rFonts w:ascii="Times New Roman" w:hAnsi="Times New Roman"/>
          <w:sz w:val="24"/>
          <w:szCs w:val="24"/>
        </w:rPr>
        <w:t>Контроль за виконанням даної Програми здійснює постійна комісія міської ради з питань містобудування, земельних відносин та охорони навколишнього природного середовища.</w:t>
      </w:r>
    </w:p>
    <w:p w:rsidR="00A82CF9" w:rsidRDefault="00A82CF9"/>
    <w:p w:rsidR="00A82CF9" w:rsidRDefault="00A82CF9">
      <w:pPr>
        <w:pStyle w:val="a5"/>
        <w:spacing w:before="0" w:beforeAutospacing="0" w:after="0" w:afterAutospacing="0"/>
        <w:jc w:val="both"/>
        <w:rPr>
          <w:lang w:val="uk"/>
        </w:rPr>
      </w:pPr>
    </w:p>
    <w:p w:rsidR="00A82CF9" w:rsidRDefault="00FE1182">
      <w:pPr>
        <w:pStyle w:val="a9"/>
        <w:rPr>
          <w:rFonts w:ascii="Times New Roman" w:hAnsi="Times New Roman"/>
          <w:sz w:val="24"/>
          <w:szCs w:val="24"/>
        </w:rPr>
      </w:pPr>
      <w:r>
        <w:rPr>
          <w:rFonts w:ascii="Times New Roman" w:hAnsi="Times New Roman"/>
          <w:sz w:val="24"/>
          <w:szCs w:val="24"/>
        </w:rPr>
        <w:t>Заступник міського голови з питань</w:t>
      </w:r>
    </w:p>
    <w:p w:rsidR="00A82CF9" w:rsidRDefault="00FE1182">
      <w:pPr>
        <w:pStyle w:val="a9"/>
        <w:tabs>
          <w:tab w:val="left" w:pos="7088"/>
        </w:tabs>
        <w:rPr>
          <w:rFonts w:ascii="Times New Roman" w:hAnsi="Times New Roman"/>
          <w:sz w:val="24"/>
          <w:szCs w:val="24"/>
        </w:rPr>
      </w:pPr>
      <w:r>
        <w:rPr>
          <w:rFonts w:ascii="Times New Roman" w:hAnsi="Times New Roman"/>
          <w:sz w:val="24"/>
          <w:szCs w:val="24"/>
        </w:rPr>
        <w:t xml:space="preserve">діяльності виконавчих органів ради </w:t>
      </w:r>
      <w:r>
        <w:rPr>
          <w:rFonts w:ascii="Times New Roman" w:hAnsi="Times New Roman"/>
          <w:sz w:val="24"/>
          <w:szCs w:val="24"/>
        </w:rPr>
        <w:tab/>
        <w:t>Михайло КРИВАК</w:t>
      </w:r>
    </w:p>
    <w:p w:rsidR="00A82CF9" w:rsidRDefault="00A82CF9">
      <w:pPr>
        <w:shd w:val="clear" w:color="auto" w:fill="FFFFFF"/>
        <w:suppressAutoHyphens/>
        <w:spacing w:after="0" w:line="240" w:lineRule="auto"/>
        <w:jc w:val="both"/>
        <w:rPr>
          <w:rFonts w:ascii="Times New Roman" w:eastAsia="Times New Roman" w:hAnsi="Times New Roman" w:cs="Times New Roman"/>
          <w:sz w:val="24"/>
          <w:szCs w:val="24"/>
          <w:shd w:val="clear" w:color="auto" w:fill="FFFFFF"/>
          <w:lang w:val="uk" w:eastAsia="zh-CN"/>
        </w:rPr>
      </w:pPr>
    </w:p>
    <w:p w:rsidR="000A3A52" w:rsidRDefault="000A3A52">
      <w:pPr>
        <w:shd w:val="clear" w:color="auto" w:fill="FFFFFF"/>
        <w:suppressAutoHyphens/>
        <w:spacing w:after="0" w:line="240" w:lineRule="auto"/>
        <w:jc w:val="both"/>
        <w:rPr>
          <w:rFonts w:ascii="Times New Roman" w:eastAsia="Times New Roman" w:hAnsi="Times New Roman" w:cs="Times New Roman"/>
          <w:sz w:val="24"/>
          <w:szCs w:val="24"/>
          <w:shd w:val="clear" w:color="auto" w:fill="FFFFFF"/>
          <w:lang w:val="uk" w:eastAsia="zh-CN"/>
        </w:rPr>
      </w:pPr>
    </w:p>
    <w:p w:rsidR="000A3A52" w:rsidRDefault="000A3A52">
      <w:pPr>
        <w:shd w:val="clear" w:color="auto" w:fill="FFFFFF"/>
        <w:suppressAutoHyphens/>
        <w:spacing w:after="0" w:line="240" w:lineRule="auto"/>
        <w:jc w:val="both"/>
        <w:rPr>
          <w:rFonts w:ascii="Times New Roman" w:eastAsia="Times New Roman" w:hAnsi="Times New Roman" w:cs="Times New Roman"/>
          <w:sz w:val="24"/>
          <w:szCs w:val="24"/>
          <w:shd w:val="clear" w:color="auto" w:fill="FFFFFF"/>
          <w:lang w:val="uk" w:eastAsia="zh-CN"/>
        </w:rPr>
      </w:pPr>
    </w:p>
    <w:p w:rsidR="00A82CF9" w:rsidRDefault="00A82CF9">
      <w:pPr>
        <w:shd w:val="clear" w:color="auto" w:fill="FFFFFF"/>
        <w:suppressAutoHyphens/>
        <w:spacing w:after="0" w:line="240" w:lineRule="auto"/>
        <w:jc w:val="both"/>
        <w:rPr>
          <w:rFonts w:ascii="Times New Roman" w:eastAsia="Times New Roman" w:hAnsi="Times New Roman" w:cs="Times New Roman"/>
          <w:sz w:val="24"/>
          <w:szCs w:val="24"/>
          <w:shd w:val="clear" w:color="auto" w:fill="FFFFFF"/>
          <w:lang w:val="uk" w:eastAsia="zh-CN"/>
        </w:rPr>
      </w:pPr>
    </w:p>
    <w:p w:rsidR="00A82CF9" w:rsidRDefault="00FE1182">
      <w:pPr>
        <w:spacing w:after="0" w:line="240" w:lineRule="auto"/>
        <w:jc w:val="both"/>
        <w:rPr>
          <w:rFonts w:ascii="Times New Roman" w:hAnsi="Times New Roman" w:cs="Times New Roman"/>
          <w:sz w:val="24"/>
          <w:szCs w:val="24"/>
          <w:lang w:val="uk"/>
        </w:rPr>
      </w:pPr>
      <w:r>
        <w:rPr>
          <w:rFonts w:ascii="Times New Roman" w:eastAsia="Calibri" w:hAnsi="Times New Roman" w:cs="Times New Roman"/>
          <w:sz w:val="24"/>
          <w:szCs w:val="24"/>
          <w:lang w:eastAsia="zh-CN" w:bidi="ar"/>
        </w:rPr>
        <w:t>В.о. н</w:t>
      </w:r>
      <w:r>
        <w:rPr>
          <w:rFonts w:ascii="Times New Roman" w:eastAsia="Calibri" w:hAnsi="Times New Roman" w:cs="Times New Roman"/>
          <w:sz w:val="24"/>
          <w:szCs w:val="24"/>
          <w:lang w:val="uk" w:eastAsia="zh-CN" w:bidi="ar"/>
        </w:rPr>
        <w:t>ачальник</w:t>
      </w:r>
      <w:r>
        <w:rPr>
          <w:rFonts w:ascii="Times New Roman" w:eastAsia="Calibri" w:hAnsi="Times New Roman" w:cs="Times New Roman"/>
          <w:sz w:val="24"/>
          <w:szCs w:val="24"/>
          <w:lang w:eastAsia="zh-CN" w:bidi="ar"/>
        </w:rPr>
        <w:t>а</w:t>
      </w:r>
      <w:r>
        <w:rPr>
          <w:rFonts w:ascii="Times New Roman" w:eastAsia="Calibri" w:hAnsi="Times New Roman" w:cs="Times New Roman"/>
          <w:sz w:val="24"/>
          <w:szCs w:val="24"/>
          <w:lang w:val="uk" w:eastAsia="zh-CN" w:bidi="ar"/>
        </w:rPr>
        <w:t xml:space="preserve"> управління з питань екології </w:t>
      </w:r>
    </w:p>
    <w:p w:rsidR="00A82CF9" w:rsidRDefault="00FE1182">
      <w:pPr>
        <w:spacing w:after="0" w:line="240" w:lineRule="auto"/>
        <w:jc w:val="both"/>
        <w:rPr>
          <w:rFonts w:ascii="Times New Roman" w:hAnsi="Times New Roman" w:cs="Times New Roman"/>
          <w:sz w:val="24"/>
          <w:szCs w:val="24"/>
          <w:lang w:val="uk"/>
        </w:rPr>
      </w:pPr>
      <w:r>
        <w:rPr>
          <w:rFonts w:ascii="Times New Roman" w:eastAsia="Calibri" w:hAnsi="Times New Roman" w:cs="Times New Roman"/>
          <w:sz w:val="24"/>
          <w:szCs w:val="24"/>
          <w:lang w:val="uk" w:eastAsia="zh-CN" w:bidi="ar"/>
        </w:rPr>
        <w:t xml:space="preserve">та контролю за благоустроєм </w:t>
      </w:r>
      <w:r>
        <w:rPr>
          <w:rFonts w:ascii="Times New Roman" w:eastAsia="Calibri" w:hAnsi="Times New Roman" w:cs="Times New Roman"/>
          <w:sz w:val="24"/>
          <w:szCs w:val="24"/>
          <w:lang w:val="uk" w:eastAsia="zh-CN" w:bidi="ar"/>
        </w:rPr>
        <w:tab/>
      </w:r>
      <w:r>
        <w:rPr>
          <w:rFonts w:ascii="Times New Roman" w:eastAsia="Calibri" w:hAnsi="Times New Roman" w:cs="Times New Roman"/>
          <w:sz w:val="24"/>
          <w:szCs w:val="24"/>
          <w:lang w:val="uk" w:eastAsia="zh-CN" w:bidi="ar"/>
        </w:rPr>
        <w:tab/>
      </w:r>
      <w:r>
        <w:rPr>
          <w:rFonts w:ascii="Times New Roman" w:eastAsia="Calibri" w:hAnsi="Times New Roman" w:cs="Times New Roman"/>
          <w:sz w:val="24"/>
          <w:szCs w:val="24"/>
          <w:lang w:val="uk" w:eastAsia="zh-CN" w:bidi="ar"/>
        </w:rPr>
        <w:tab/>
      </w:r>
      <w:r>
        <w:rPr>
          <w:rFonts w:ascii="Times New Roman" w:eastAsia="Calibri" w:hAnsi="Times New Roman" w:cs="Times New Roman"/>
          <w:sz w:val="24"/>
          <w:szCs w:val="24"/>
          <w:lang w:val="uk" w:eastAsia="zh-CN" w:bidi="ar"/>
        </w:rPr>
        <w:tab/>
      </w:r>
      <w:r>
        <w:rPr>
          <w:rFonts w:ascii="Times New Roman" w:eastAsia="Calibri" w:hAnsi="Times New Roman" w:cs="Times New Roman"/>
          <w:sz w:val="24"/>
          <w:szCs w:val="24"/>
          <w:lang w:val="uk" w:eastAsia="zh-CN" w:bidi="ar"/>
        </w:rPr>
        <w:tab/>
      </w:r>
      <w:r>
        <w:rPr>
          <w:rFonts w:ascii="Times New Roman" w:eastAsia="Calibri" w:hAnsi="Times New Roman" w:cs="Times New Roman"/>
          <w:sz w:val="24"/>
          <w:szCs w:val="24"/>
          <w:lang w:val="uk" w:eastAsia="zh-CN" w:bidi="ar"/>
        </w:rPr>
        <w:tab/>
      </w:r>
      <w:r>
        <w:rPr>
          <w:rFonts w:ascii="Times New Roman" w:eastAsia="Calibri" w:hAnsi="Times New Roman" w:cs="Times New Roman"/>
          <w:sz w:val="24"/>
          <w:szCs w:val="24"/>
          <w:lang w:eastAsia="zh-CN" w:bidi="ar"/>
        </w:rPr>
        <w:t>Владислав ПУКАС</w:t>
      </w:r>
      <w:r>
        <w:rPr>
          <w:rFonts w:ascii="Times New Roman" w:eastAsia="Calibri" w:hAnsi="Times New Roman" w:cs="Times New Roman"/>
          <w:sz w:val="24"/>
          <w:szCs w:val="24"/>
          <w:lang w:val="uk" w:eastAsia="zh-CN" w:bidi="ar"/>
        </w:rPr>
        <w:t xml:space="preserve"> </w:t>
      </w:r>
    </w:p>
    <w:p w:rsidR="00A82CF9" w:rsidRDefault="00A82CF9">
      <w:pPr>
        <w:rPr>
          <w:rFonts w:ascii="Times New Roman" w:hAnsi="Times New Roman" w:cs="Times New Roman"/>
          <w:sz w:val="24"/>
          <w:szCs w:val="24"/>
        </w:rPr>
      </w:pPr>
    </w:p>
    <w:p w:rsidR="00A82CF9" w:rsidRDefault="00A82CF9"/>
    <w:sectPr w:rsidR="00A82CF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182" w:rsidRDefault="00FE1182">
      <w:pPr>
        <w:spacing w:line="240" w:lineRule="auto"/>
      </w:pPr>
      <w:r>
        <w:separator/>
      </w:r>
    </w:p>
  </w:endnote>
  <w:endnote w:type="continuationSeparator" w:id="0">
    <w:p w:rsidR="00FE1182" w:rsidRDefault="00FE1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Segoe Print"/>
    <w:panose1 w:val="020B0603030804020204"/>
    <w:charset w:val="00"/>
    <w:family w:val="swiss"/>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182" w:rsidRDefault="00FE1182">
      <w:pPr>
        <w:spacing w:after="0"/>
      </w:pPr>
      <w:r>
        <w:separator/>
      </w:r>
    </w:p>
  </w:footnote>
  <w:footnote w:type="continuationSeparator" w:id="0">
    <w:p w:rsidR="00FE1182" w:rsidRDefault="00FE118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52"/>
    <w:rsid w:val="0006415D"/>
    <w:rsid w:val="000750F2"/>
    <w:rsid w:val="000A0DCC"/>
    <w:rsid w:val="000A3A52"/>
    <w:rsid w:val="000B19AE"/>
    <w:rsid w:val="000E69B0"/>
    <w:rsid w:val="000F065F"/>
    <w:rsid w:val="000F3D21"/>
    <w:rsid w:val="00106EDD"/>
    <w:rsid w:val="00155E94"/>
    <w:rsid w:val="001C1C8B"/>
    <w:rsid w:val="001D397D"/>
    <w:rsid w:val="002048F2"/>
    <w:rsid w:val="002170EF"/>
    <w:rsid w:val="002232FE"/>
    <w:rsid w:val="0023337F"/>
    <w:rsid w:val="00245457"/>
    <w:rsid w:val="002B78E0"/>
    <w:rsid w:val="002C2C5B"/>
    <w:rsid w:val="002E7001"/>
    <w:rsid w:val="002F146B"/>
    <w:rsid w:val="002F27E2"/>
    <w:rsid w:val="00312395"/>
    <w:rsid w:val="00315110"/>
    <w:rsid w:val="00341C30"/>
    <w:rsid w:val="0036464C"/>
    <w:rsid w:val="0038334E"/>
    <w:rsid w:val="00390306"/>
    <w:rsid w:val="003C7409"/>
    <w:rsid w:val="003D7EAB"/>
    <w:rsid w:val="003E7AC7"/>
    <w:rsid w:val="003F7E7B"/>
    <w:rsid w:val="004047A1"/>
    <w:rsid w:val="00440D2B"/>
    <w:rsid w:val="0044166A"/>
    <w:rsid w:val="00446E4A"/>
    <w:rsid w:val="004517D3"/>
    <w:rsid w:val="004A7DAD"/>
    <w:rsid w:val="004D13C1"/>
    <w:rsid w:val="004D4B15"/>
    <w:rsid w:val="004D64FA"/>
    <w:rsid w:val="005677BB"/>
    <w:rsid w:val="00585E47"/>
    <w:rsid w:val="005A2376"/>
    <w:rsid w:val="005B1646"/>
    <w:rsid w:val="005D3D3C"/>
    <w:rsid w:val="0060609D"/>
    <w:rsid w:val="00621136"/>
    <w:rsid w:val="0062299C"/>
    <w:rsid w:val="00675403"/>
    <w:rsid w:val="00690B2F"/>
    <w:rsid w:val="00697836"/>
    <w:rsid w:val="006A7F4E"/>
    <w:rsid w:val="006C0AC1"/>
    <w:rsid w:val="006C5894"/>
    <w:rsid w:val="006D30C0"/>
    <w:rsid w:val="006D78D5"/>
    <w:rsid w:val="00700814"/>
    <w:rsid w:val="00700B79"/>
    <w:rsid w:val="007120C5"/>
    <w:rsid w:val="007421C6"/>
    <w:rsid w:val="00790B28"/>
    <w:rsid w:val="00794286"/>
    <w:rsid w:val="007D30A6"/>
    <w:rsid w:val="007E700B"/>
    <w:rsid w:val="007F4595"/>
    <w:rsid w:val="007F550E"/>
    <w:rsid w:val="008215FF"/>
    <w:rsid w:val="008428F3"/>
    <w:rsid w:val="0087575B"/>
    <w:rsid w:val="00875FB9"/>
    <w:rsid w:val="008847CF"/>
    <w:rsid w:val="00886363"/>
    <w:rsid w:val="00891951"/>
    <w:rsid w:val="008A295B"/>
    <w:rsid w:val="008A52CB"/>
    <w:rsid w:val="008B5D49"/>
    <w:rsid w:val="008C1052"/>
    <w:rsid w:val="008C3FD6"/>
    <w:rsid w:val="008F5C10"/>
    <w:rsid w:val="00924789"/>
    <w:rsid w:val="0092722E"/>
    <w:rsid w:val="0093248F"/>
    <w:rsid w:val="00963B58"/>
    <w:rsid w:val="009752D9"/>
    <w:rsid w:val="009B2E84"/>
    <w:rsid w:val="00A167CB"/>
    <w:rsid w:val="00A73F29"/>
    <w:rsid w:val="00A82CF9"/>
    <w:rsid w:val="00A91DFE"/>
    <w:rsid w:val="00AB3D2B"/>
    <w:rsid w:val="00AE1EE1"/>
    <w:rsid w:val="00AF6658"/>
    <w:rsid w:val="00AF6E59"/>
    <w:rsid w:val="00B02F8E"/>
    <w:rsid w:val="00B05D70"/>
    <w:rsid w:val="00B25E9F"/>
    <w:rsid w:val="00B40200"/>
    <w:rsid w:val="00B536C2"/>
    <w:rsid w:val="00B6148D"/>
    <w:rsid w:val="00B9729C"/>
    <w:rsid w:val="00BA2E0F"/>
    <w:rsid w:val="00BC2D1E"/>
    <w:rsid w:val="00C21444"/>
    <w:rsid w:val="00C221D1"/>
    <w:rsid w:val="00C35204"/>
    <w:rsid w:val="00C96921"/>
    <w:rsid w:val="00CD7E69"/>
    <w:rsid w:val="00CE5A1C"/>
    <w:rsid w:val="00D04221"/>
    <w:rsid w:val="00D049F9"/>
    <w:rsid w:val="00D0689F"/>
    <w:rsid w:val="00D26DB5"/>
    <w:rsid w:val="00D26F72"/>
    <w:rsid w:val="00D45E9F"/>
    <w:rsid w:val="00D50C1B"/>
    <w:rsid w:val="00D75D84"/>
    <w:rsid w:val="00D76A29"/>
    <w:rsid w:val="00DB4D2E"/>
    <w:rsid w:val="00DF6637"/>
    <w:rsid w:val="00E06916"/>
    <w:rsid w:val="00E135D7"/>
    <w:rsid w:val="00E4000B"/>
    <w:rsid w:val="00E50239"/>
    <w:rsid w:val="00E75E90"/>
    <w:rsid w:val="00E85987"/>
    <w:rsid w:val="00E90FDF"/>
    <w:rsid w:val="00E94D4A"/>
    <w:rsid w:val="00EA0DD3"/>
    <w:rsid w:val="00EE1C47"/>
    <w:rsid w:val="00EE3214"/>
    <w:rsid w:val="00F00782"/>
    <w:rsid w:val="00F01550"/>
    <w:rsid w:val="00F373B2"/>
    <w:rsid w:val="00F86DA2"/>
    <w:rsid w:val="00F959A1"/>
    <w:rsid w:val="00F96562"/>
    <w:rsid w:val="00FE1182"/>
    <w:rsid w:val="220C47BA"/>
    <w:rsid w:val="4BFC40CB"/>
    <w:rsid w:val="4C37612A"/>
    <w:rsid w:val="6CC63BD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B35A7-18B4-4D52-9219-3702DD28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iPriority="0"/>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qFormat/>
    <w:pPr>
      <w:spacing w:after="120" w:line="480" w:lineRule="auto"/>
      <w:ind w:left="283"/>
    </w:pPr>
    <w:rPr>
      <w:rFonts w:ascii="Calibri" w:eastAsia="SimSun" w:hAnsi="Calibri" w:cs="Times New Roman"/>
      <w:lang w:val="ru-RU"/>
    </w:rPr>
  </w:style>
  <w:style w:type="paragraph" w:styleId="3">
    <w:name w:val="Body Text Indent 3"/>
    <w:basedOn w:val="a"/>
    <w:link w:val="30"/>
    <w:pPr>
      <w:spacing w:after="0" w:line="240" w:lineRule="auto"/>
      <w:ind w:firstLine="720"/>
    </w:pPr>
    <w:rPr>
      <w:rFonts w:ascii="Times New Roman" w:eastAsia="Times New Roman" w:hAnsi="Times New Roman" w:cs="Times New Roman"/>
      <w:sz w:val="24"/>
      <w:szCs w:val="24"/>
      <w:lang w:eastAsia="ru-RU"/>
    </w:rPr>
  </w:style>
  <w:style w:type="character" w:styleId="a3">
    <w:name w:val="Emphasis"/>
    <w:uiPriority w:val="20"/>
    <w:qFormat/>
    <w:rPr>
      <w:i/>
      <w:iCs/>
    </w:rPr>
  </w:style>
  <w:style w:type="character" w:styleId="a4">
    <w:name w:val="Hyperlink"/>
    <w:basedOn w:val="a0"/>
    <w:uiPriority w:val="99"/>
    <w:semiHidden/>
    <w:unhideWhenUsed/>
    <w:qFormat/>
    <w:rPr>
      <w:color w:val="0000FF"/>
      <w:u w:val="single"/>
    </w:rPr>
  </w:style>
  <w:style w:type="paragraph" w:styleId="a5">
    <w:name w:val="Normal (Web)"/>
    <w:basedOn w:val="a"/>
    <w:link w:val="a6"/>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nrvts0">
    <w:name w:val="span_rvts0"/>
    <w:basedOn w:val="a0"/>
    <w:qFormat/>
    <w:rPr>
      <w:rFonts w:ascii="Times New Roman" w:eastAsia="Times New Roman" w:hAnsi="Times New Roman" w:cs="Times New Roman"/>
      <w:sz w:val="24"/>
      <w:szCs w:val="24"/>
    </w:rPr>
  </w:style>
  <w:style w:type="paragraph" w:customStyle="1" w:styleId="rvps2">
    <w:name w:val="rvps2"/>
    <w:basedOn w:val="a"/>
    <w:qFormat/>
    <w:pPr>
      <w:spacing w:after="0" w:line="240" w:lineRule="auto"/>
      <w:ind w:firstLine="450"/>
      <w:jc w:val="both"/>
    </w:pPr>
    <w:rPr>
      <w:rFonts w:ascii="Times New Roman" w:eastAsia="Times New Roman" w:hAnsi="Times New Roman" w:cs="Times New Roman"/>
      <w:sz w:val="24"/>
      <w:szCs w:val="24"/>
      <w:lang w:val="en-US"/>
    </w:rPr>
  </w:style>
  <w:style w:type="paragraph" w:styleId="a9">
    <w:name w:val="No Spacing"/>
    <w:uiPriority w:val="1"/>
    <w:qFormat/>
    <w:rPr>
      <w:rFonts w:cs="Times New Roman"/>
      <w:sz w:val="22"/>
      <w:szCs w:val="22"/>
      <w:lang w:eastAsia="en-US"/>
    </w:rPr>
  </w:style>
  <w:style w:type="character" w:customStyle="1" w:styleId="30">
    <w:name w:val="Основний текст з відступом 3 Знак"/>
    <w:basedOn w:val="a0"/>
    <w:link w:val="3"/>
    <w:qFormat/>
    <w:rPr>
      <w:rFonts w:ascii="Times New Roman" w:eastAsia="Times New Roman" w:hAnsi="Times New Roman" w:cs="Times New Roman"/>
      <w:sz w:val="24"/>
      <w:szCs w:val="24"/>
      <w:lang w:eastAsia="ru-RU"/>
    </w:rPr>
  </w:style>
  <w:style w:type="paragraph" w:styleId="aa">
    <w:name w:val="List Paragraph"/>
    <w:basedOn w:val="a"/>
    <w:uiPriority w:val="34"/>
    <w:qFormat/>
    <w:pPr>
      <w:ind w:left="720"/>
      <w:contextualSpacing/>
    </w:pPr>
  </w:style>
  <w:style w:type="character" w:customStyle="1" w:styleId="vkekvd">
    <w:name w:val="vkekvd"/>
    <w:basedOn w:val="a0"/>
    <w:qFormat/>
  </w:style>
  <w:style w:type="character" w:customStyle="1" w:styleId="a6">
    <w:name w:val="Звичайний (веб) Знак"/>
    <w:link w:val="a5"/>
    <w:qFormat/>
    <w:locked/>
    <w:rPr>
      <w:rFonts w:ascii="Times New Roman" w:eastAsia="Times New Roman" w:hAnsi="Times New Roman" w:cs="Times New Roman"/>
      <w:sz w:val="24"/>
      <w:szCs w:val="24"/>
      <w:lang w:eastAsia="uk-UA"/>
    </w:rPr>
  </w:style>
  <w:style w:type="paragraph" w:customStyle="1" w:styleId="14">
    <w:name w:val="а14"/>
    <w:basedOn w:val="a"/>
    <w:link w:val="140"/>
    <w:qFormat/>
    <w:pPr>
      <w:keepNext/>
      <w:widowControl w:val="0"/>
      <w:tabs>
        <w:tab w:val="left" w:pos="960"/>
      </w:tabs>
      <w:suppressAutoHyphens/>
      <w:spacing w:after="0" w:line="360" w:lineRule="auto"/>
      <w:ind w:firstLine="709"/>
      <w:jc w:val="both"/>
    </w:pPr>
    <w:rPr>
      <w:rFonts w:ascii="Times New Roman" w:eastAsia="DejaVu Sans" w:hAnsi="Times New Roman" w:cs="Times New Roman"/>
      <w:kern w:val="1"/>
      <w:sz w:val="28"/>
      <w:szCs w:val="28"/>
      <w:lang w:val="ru-RU"/>
    </w:rPr>
  </w:style>
  <w:style w:type="character" w:customStyle="1" w:styleId="140">
    <w:name w:val="а14 Знак"/>
    <w:link w:val="14"/>
    <w:qFormat/>
    <w:rPr>
      <w:rFonts w:ascii="Times New Roman" w:eastAsia="DejaVu Sans" w:hAnsi="Times New Roman" w:cs="Times New Roman"/>
      <w:kern w:val="1"/>
      <w:sz w:val="28"/>
      <w:szCs w:val="28"/>
      <w:lang w:val="ru-RU"/>
    </w:rPr>
  </w:style>
  <w:style w:type="character" w:customStyle="1" w:styleId="20">
    <w:name w:val="Основний текст з відступом 2 Знак"/>
    <w:basedOn w:val="a0"/>
    <w:link w:val="2"/>
    <w:uiPriority w:val="99"/>
    <w:qFormat/>
    <w:rPr>
      <w:rFonts w:ascii="Calibri" w:eastAsia="SimSun" w:hAnsi="Calibri" w:cs="Times New Roman"/>
      <w:lang w:val="ru-RU"/>
    </w:rPr>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nospacing0">
    <w:name w:val="msonospacing"/>
    <w:qFormat/>
    <w:rPr>
      <w:rFonts w:cs="Times New Roman"/>
      <w:sz w:val="22"/>
      <w:szCs w:val="22"/>
      <w:lang w:val="en-US" w:eastAsia="zh-CN"/>
    </w:rPr>
  </w:style>
  <w:style w:type="table" w:customStyle="1" w:styleId="1">
    <w:name w:val="Звичайна таблиця1"/>
    <w:semiHidden/>
    <w:qFormat/>
    <w:rPr>
      <w:rFonts w:cs="Times New Roman"/>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uk.wikipedia.org/wiki/%D0%9B%D1%96%D1%81%D0%BE%D0%B2%D1%96_%D0%93%D1%80%D0%B8%D0%BD%D1%96%D0%B2%D1%86%D1%96" TargetMode="External"/><Relationship Id="rId3" Type="http://schemas.openxmlformats.org/officeDocument/2006/relationships/webSettings" Target="webSettings.xml"/><Relationship Id="rId7" Type="http://schemas.openxmlformats.org/officeDocument/2006/relationships/hyperlink" Target="https://uk.wikipedia.org/wiki/%D0%93%D1%80%D1%83%D0%B7%D0%B5%D0%B2%D0%B8%D1%86%D1%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uk-UA" sz="1200" b="1" i="0" baseline="0">
                <a:solidFill>
                  <a:sysClr val="windowText" lastClr="000000"/>
                </a:solidFill>
                <a:effectLst/>
                <a:latin typeface="Times New Roman" panose="02020603050405020304" charset="0"/>
                <a:cs typeface="Times New Roman" panose="02020603050405020304" charset="0"/>
              </a:rPr>
              <a:t>Динаміка викидів забруднюючих речовин у атмосферне повітря </a:t>
            </a:r>
            <a:endParaRPr lang="uk-UA" sz="1200" b="1">
              <a:solidFill>
                <a:sysClr val="windowText" lastClr="000000"/>
              </a:solidFill>
              <a:effectLst/>
              <a:latin typeface="Times New Roman" panose="02020603050405020304" charset="0"/>
              <a:cs typeface="Times New Roman" panose="02020603050405020304" charset="0"/>
            </a:endParaRPr>
          </a:p>
          <a:p>
            <a:pPr>
              <a:defRPr b="1"/>
            </a:pPr>
            <a:r>
              <a:rPr lang="uk-UA" sz="1200" b="1" i="0" baseline="0">
                <a:solidFill>
                  <a:sysClr val="windowText" lastClr="000000"/>
                </a:solidFill>
                <a:effectLst/>
                <a:latin typeface="Times New Roman" panose="02020603050405020304" charset="0"/>
                <a:cs typeface="Times New Roman" panose="02020603050405020304" charset="0"/>
              </a:rPr>
              <a:t>від стаціонарних джерел забруднення, тис.тонн/рік</a:t>
            </a:r>
            <a:endParaRPr lang="uk-UA" sz="1200" b="1">
              <a:solidFill>
                <a:sysClr val="windowText" lastClr="000000"/>
              </a:solidFill>
              <a:effectLst/>
              <a:latin typeface="Times New Roman" panose="02020603050405020304" charset="0"/>
              <a:cs typeface="Times New Roman" panose="02020603050405020304" charset="0"/>
            </a:endParaRPr>
          </a:p>
        </c:rich>
      </c:tx>
      <c:layout/>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Ряд 1</c:v>
                </c:pt>
              </c:strCache>
            </c:strRef>
          </c:tx>
          <c:spPr>
            <a:solidFill>
              <a:schemeClr val="accent1"/>
            </a:solidFill>
            <a:ln>
              <a:noFill/>
            </a:ln>
            <a:effectLst/>
          </c:spPr>
          <c:invertIfNegative val="0"/>
          <c:dLbls>
            <c:dLbl>
              <c:idx val="3"/>
              <c:layout/>
              <c:tx>
                <c:rich>
                  <a:bodyPr/>
                  <a:lstStyle/>
                  <a:p>
                    <a:r>
                      <a:rPr lang="en-US"/>
                      <a:t>1,0975</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1,0218</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Аркуш1!$A$2:$A$6</c:f>
              <c:numCache>
                <c:formatCode>General</c:formatCode>
                <c:ptCount val="5"/>
                <c:pt idx="0">
                  <c:v>2020</c:v>
                </c:pt>
                <c:pt idx="1">
                  <c:v>2021</c:v>
                </c:pt>
                <c:pt idx="2">
                  <c:v>2022</c:v>
                </c:pt>
                <c:pt idx="3">
                  <c:v>2023</c:v>
                </c:pt>
                <c:pt idx="4">
                  <c:v>2024</c:v>
                </c:pt>
              </c:numCache>
            </c:numRef>
          </c:cat>
          <c:val>
            <c:numRef>
              <c:f>Аркуш1!$B$2:$B$6</c:f>
              <c:numCache>
                <c:formatCode>General</c:formatCode>
                <c:ptCount val="5"/>
                <c:pt idx="0">
                  <c:v>0.85899999999999999</c:v>
                </c:pt>
                <c:pt idx="1">
                  <c:v>0.93300000000000005</c:v>
                </c:pt>
                <c:pt idx="2">
                  <c:v>0.99099999999999999</c:v>
                </c:pt>
                <c:pt idx="3">
                  <c:v>1.0980000000000001</c:v>
                </c:pt>
                <c:pt idx="4">
                  <c:v>1.022</c:v>
                </c:pt>
              </c:numCache>
            </c:numRef>
          </c:val>
        </c:ser>
        <c:dLbls>
          <c:showLegendKey val="0"/>
          <c:showVal val="0"/>
          <c:showCatName val="0"/>
          <c:showSerName val="0"/>
          <c:showPercent val="0"/>
          <c:showBubbleSize val="0"/>
        </c:dLbls>
        <c:gapWidth val="219"/>
        <c:overlap val="-27"/>
        <c:axId val="848804832"/>
        <c:axId val="848803200"/>
      </c:barChart>
      <c:catAx>
        <c:axId val="84880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uk-UA"/>
          </a:p>
        </c:txPr>
        <c:crossAx val="848803200"/>
        <c:crosses val="autoZero"/>
        <c:auto val="1"/>
        <c:lblAlgn val="ctr"/>
        <c:lblOffset val="100"/>
        <c:noMultiLvlLbl val="0"/>
      </c:catAx>
      <c:valAx>
        <c:axId val="848803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uk-UA"/>
          </a:p>
        </c:txPr>
        <c:crossAx val="848804832"/>
        <c:crosses val="autoZero"/>
        <c:crossBetween val="between"/>
      </c:valAx>
      <c:spPr>
        <a:noFill/>
        <a:ln>
          <a:noFill/>
        </a:ln>
        <a:effectLst/>
      </c:spPr>
    </c:plotArea>
    <c:plotVisOnly val="1"/>
    <c:dispBlanksAs val="gap"/>
    <c:showDLblsOverMax val="0"/>
    <c:extLst>
      <c:ext uri="{0b15fc19-7d7d-44ad-8c2d-2c3a37ce22c3}">
        <chartProps xmlns="https://web.wps.cn/et/2018/main" chartId="{366230b6-5281-4671-81f1-ea6d1947a4e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31548</Words>
  <Characters>17983</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Сибіга Наталя Миколаївна</dc:creator>
  <cp:lastModifiedBy>Отрощенко Сергій Володимирович</cp:lastModifiedBy>
  <cp:revision>7</cp:revision>
  <cp:lastPrinted>2026-02-09T08:03:00Z</cp:lastPrinted>
  <dcterms:created xsi:type="dcterms:W3CDTF">2025-12-19T09:11:00Z</dcterms:created>
  <dcterms:modified xsi:type="dcterms:W3CDTF">2026-03-17T12:41:00Z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AC8AFF479070447BA27260ABC74F21CB_12</vt:lpwstr>
  </property>
</Properties>
</file>