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A" w:rsidRDefault="00847F5A" w:rsidP="007C736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Річний звіт директора</w:t>
      </w:r>
    </w:p>
    <w:p w:rsidR="00FB41DE" w:rsidRDefault="00290C6C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</w:t>
      </w:r>
      <w:r w:rsidR="00847F5A">
        <w:rPr>
          <w:b/>
          <w:color w:val="000000"/>
          <w:sz w:val="24"/>
          <w:szCs w:val="24"/>
        </w:rPr>
        <w:t>омунального підприємства «Хмельниць</w:t>
      </w:r>
      <w:r w:rsidR="00FB41DE">
        <w:rPr>
          <w:b/>
          <w:color w:val="000000"/>
          <w:sz w:val="24"/>
          <w:szCs w:val="24"/>
        </w:rPr>
        <w:t>кого міського перинатального центру»</w:t>
      </w:r>
    </w:p>
    <w:p w:rsidR="00FB41DE" w:rsidRDefault="00FB41DE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Хмельницької міської ради</w:t>
      </w:r>
    </w:p>
    <w:p w:rsidR="007C736A" w:rsidRDefault="007C736A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Ірини КОРОЛЮК</w:t>
      </w:r>
    </w:p>
    <w:p w:rsidR="00847F5A" w:rsidRDefault="00FB41DE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202</w:t>
      </w:r>
      <w:r w:rsidR="008B2A6B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рік</w:t>
      </w:r>
    </w:p>
    <w:p w:rsidR="00A40F82" w:rsidRDefault="00A40F82" w:rsidP="00BC5309">
      <w:pPr>
        <w:rPr>
          <w:b/>
          <w:color w:val="000000"/>
          <w:sz w:val="24"/>
          <w:szCs w:val="24"/>
        </w:rPr>
      </w:pPr>
    </w:p>
    <w:p w:rsidR="00BC5309" w:rsidRPr="00BC5309" w:rsidRDefault="00BC5309" w:rsidP="00BC5309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1F4025">
        <w:rPr>
          <w:b/>
          <w:color w:val="000000"/>
          <w:sz w:val="24"/>
          <w:szCs w:val="24"/>
        </w:rPr>
        <w:t xml:space="preserve">             </w:t>
      </w:r>
      <w:r w:rsidRPr="00BC5309">
        <w:rPr>
          <w:color w:val="000000"/>
          <w:sz w:val="24"/>
          <w:szCs w:val="24"/>
        </w:rPr>
        <w:t>Підприємство</w:t>
      </w:r>
      <w:r w:rsidR="001F4025">
        <w:rPr>
          <w:color w:val="000000"/>
          <w:sz w:val="24"/>
          <w:szCs w:val="24"/>
        </w:rPr>
        <w:t xml:space="preserve"> спеціалізується на наданні акушерсько-гінекологічної допомоги жіночому населенню та новонародженим. У структурі перинатального центру – цілодобовий стаціонар потужністю 200 ліжок , 12 ліжок інтенсивної терапії</w:t>
      </w:r>
      <w:r w:rsidR="00CE09E2">
        <w:rPr>
          <w:color w:val="000000"/>
          <w:sz w:val="24"/>
          <w:szCs w:val="24"/>
        </w:rPr>
        <w:t xml:space="preserve"> для дорослих та новонароджених,</w:t>
      </w:r>
      <w:r w:rsidR="001F4025">
        <w:rPr>
          <w:color w:val="000000"/>
          <w:sz w:val="24"/>
          <w:szCs w:val="24"/>
        </w:rPr>
        <w:t xml:space="preserve"> амбулаторно-поліклінічний підрозділ – жіноча консультація зі спеціалізованими кабінетами.</w:t>
      </w:r>
    </w:p>
    <w:p w:rsidR="00E12F76" w:rsidRDefault="00FB41DE" w:rsidP="00E840BB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4F7101">
        <w:rPr>
          <w:color w:val="000000"/>
          <w:sz w:val="24"/>
          <w:szCs w:val="24"/>
        </w:rPr>
        <w:t>За підсумками року:</w:t>
      </w:r>
    </w:p>
    <w:p w:rsidR="004F7101" w:rsidRDefault="004F7101" w:rsidP="004F7101">
      <w:pPr>
        <w:pStyle w:val="ad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проліковано</w:t>
      </w:r>
      <w:r w:rsidR="00355003">
        <w:rPr>
          <w:color w:val="000000"/>
          <w:sz w:val="24"/>
          <w:szCs w:val="24"/>
        </w:rPr>
        <w:t xml:space="preserve"> у стаціонарі – 5 145</w:t>
      </w:r>
      <w:r w:rsidR="00A97BF5">
        <w:rPr>
          <w:color w:val="000000"/>
          <w:sz w:val="24"/>
          <w:szCs w:val="24"/>
        </w:rPr>
        <w:t xml:space="preserve"> пацієнтів,</w:t>
      </w:r>
    </w:p>
    <w:p w:rsidR="001074FB" w:rsidRDefault="00A97BF5" w:rsidP="001074FB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тому числі за профілями</w:t>
      </w:r>
      <w:r w:rsidR="00121794">
        <w:rPr>
          <w:color w:val="000000"/>
          <w:sz w:val="24"/>
          <w:szCs w:val="24"/>
        </w:rPr>
        <w:t xml:space="preserve"> </w:t>
      </w:r>
      <w:r w:rsidR="001074FB">
        <w:rPr>
          <w:color w:val="000000"/>
          <w:sz w:val="24"/>
          <w:szCs w:val="24"/>
        </w:rPr>
        <w:t>:</w:t>
      </w:r>
    </w:p>
    <w:p w:rsidR="001074FB" w:rsidRDefault="00A17524" w:rsidP="001074FB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ліжка для роділь</w:t>
      </w:r>
      <w:r w:rsidR="00A97BF5">
        <w:rPr>
          <w:color w:val="000000"/>
          <w:sz w:val="24"/>
          <w:szCs w:val="24"/>
        </w:rPr>
        <w:t xml:space="preserve"> та породіль – 1 824 пацієнти;</w:t>
      </w:r>
    </w:p>
    <w:p w:rsidR="00A17524" w:rsidRDefault="00A17524" w:rsidP="001074FB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ліжка патології вагітност</w:t>
      </w:r>
      <w:r w:rsidR="00A97BF5">
        <w:rPr>
          <w:color w:val="000000"/>
          <w:sz w:val="24"/>
          <w:szCs w:val="24"/>
        </w:rPr>
        <w:t>і – 1 591 пацієнт</w:t>
      </w:r>
      <w:r>
        <w:rPr>
          <w:color w:val="000000"/>
          <w:sz w:val="24"/>
          <w:szCs w:val="24"/>
        </w:rPr>
        <w:t>;</w:t>
      </w:r>
    </w:p>
    <w:p w:rsidR="004F7101" w:rsidRPr="00A97BF5" w:rsidRDefault="00A17524" w:rsidP="00A97BF5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ліжка гінекологічні – </w:t>
      </w:r>
      <w:r w:rsidR="00A97BF5">
        <w:rPr>
          <w:color w:val="000000"/>
          <w:sz w:val="24"/>
          <w:szCs w:val="24"/>
        </w:rPr>
        <w:t>1 730 пацієнтів;</w:t>
      </w:r>
    </w:p>
    <w:p w:rsidR="004F7101" w:rsidRDefault="004F7101" w:rsidP="004F7101">
      <w:pPr>
        <w:pStyle w:val="ad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здійснено обслуговування амбулаторно </w:t>
      </w:r>
      <w:r w:rsidR="00355003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355003">
        <w:rPr>
          <w:color w:val="000000"/>
          <w:sz w:val="24"/>
          <w:szCs w:val="24"/>
        </w:rPr>
        <w:t>80 426 від</w:t>
      </w:r>
      <w:r w:rsidR="00D270C7">
        <w:rPr>
          <w:color w:val="000000"/>
          <w:sz w:val="24"/>
          <w:szCs w:val="24"/>
        </w:rPr>
        <w:t>відуван</w:t>
      </w:r>
      <w:r w:rsidR="00A97BF5">
        <w:rPr>
          <w:color w:val="000000"/>
          <w:sz w:val="24"/>
          <w:szCs w:val="24"/>
        </w:rPr>
        <w:t>ь.</w:t>
      </w:r>
    </w:p>
    <w:p w:rsidR="00BC5309" w:rsidRDefault="00F329B3" w:rsidP="00F329B3">
      <w:pP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701C2F">
        <w:rPr>
          <w:color w:val="000000"/>
          <w:sz w:val="24"/>
          <w:szCs w:val="24"/>
        </w:rPr>
        <w:t xml:space="preserve"> </w:t>
      </w:r>
      <w:r w:rsidR="00C10456" w:rsidRPr="00F329B3">
        <w:rPr>
          <w:color w:val="000000"/>
          <w:sz w:val="24"/>
          <w:szCs w:val="24"/>
        </w:rPr>
        <w:t>Пологів стало менше, ніж торік на 9,5 % (2022 рік – 1 838, 2021 рік – 2 030), та все ж в</w:t>
      </w:r>
      <w:r w:rsidRPr="00F329B3">
        <w:rPr>
          <w:color w:val="000000"/>
          <w:sz w:val="24"/>
          <w:szCs w:val="24"/>
        </w:rPr>
        <w:t xml:space="preserve"> </w:t>
      </w:r>
      <w:r w:rsidR="00C10456" w:rsidRPr="00F329B3">
        <w:rPr>
          <w:color w:val="000000"/>
          <w:sz w:val="24"/>
          <w:szCs w:val="24"/>
        </w:rPr>
        <w:t>умовах війни – це хороша статистика</w:t>
      </w:r>
      <w:r>
        <w:rPr>
          <w:color w:val="000000"/>
          <w:sz w:val="24"/>
          <w:szCs w:val="24"/>
        </w:rPr>
        <w:t xml:space="preserve">. </w:t>
      </w:r>
    </w:p>
    <w:p w:rsidR="00701C2F" w:rsidRPr="00F329B3" w:rsidRDefault="00701C2F" w:rsidP="00F329B3">
      <w:pP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В закладі працює 116 лікарів та 221 медичних фахівців середньої ланки. Перинатальний центр укомплектований достатньою медичного персоналу, що має високу кваліфікаційну підготовку (80 % працівників атестовано).</w:t>
      </w:r>
    </w:p>
    <w:p w:rsidR="00956F94" w:rsidRDefault="00701C2F" w:rsidP="00DB0D0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5B69AB">
        <w:rPr>
          <w:color w:val="000000"/>
          <w:sz w:val="24"/>
          <w:szCs w:val="24"/>
        </w:rPr>
        <w:t>Станом на 01.01.202</w:t>
      </w:r>
      <w:r w:rsidR="00046CAD">
        <w:rPr>
          <w:color w:val="000000"/>
          <w:sz w:val="24"/>
          <w:szCs w:val="24"/>
        </w:rPr>
        <w:t>2</w:t>
      </w:r>
      <w:r w:rsidR="005B69AB">
        <w:rPr>
          <w:color w:val="000000"/>
          <w:sz w:val="24"/>
          <w:szCs w:val="24"/>
        </w:rPr>
        <w:t xml:space="preserve"> року загальна штатна чисельність персоналу становила </w:t>
      </w:r>
      <w:r w:rsidR="00046CAD">
        <w:rPr>
          <w:color w:val="000000"/>
          <w:sz w:val="24"/>
          <w:szCs w:val="24"/>
        </w:rPr>
        <w:t>539,5 штатних одиниць.</w:t>
      </w:r>
      <w:r w:rsidR="005B69AB">
        <w:rPr>
          <w:color w:val="000000"/>
          <w:sz w:val="24"/>
          <w:szCs w:val="24"/>
        </w:rPr>
        <w:t xml:space="preserve"> </w:t>
      </w:r>
      <w:r w:rsidR="00046CAD">
        <w:rPr>
          <w:color w:val="000000"/>
          <w:sz w:val="24"/>
          <w:szCs w:val="24"/>
        </w:rPr>
        <w:t>Протягом року оптимізовано 43 посади</w:t>
      </w:r>
      <w:r w:rsidR="00956F94">
        <w:rPr>
          <w:color w:val="000000"/>
          <w:sz w:val="24"/>
          <w:szCs w:val="24"/>
        </w:rPr>
        <w:t>.</w:t>
      </w:r>
    </w:p>
    <w:p w:rsidR="00F62CC7" w:rsidRPr="00E840BB" w:rsidRDefault="00CE0CBD" w:rsidP="00DB0D0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046CA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="004011E9" w:rsidRPr="00E840BB">
        <w:rPr>
          <w:b/>
          <w:color w:val="000000"/>
          <w:sz w:val="24"/>
          <w:szCs w:val="24"/>
        </w:rPr>
        <w:t xml:space="preserve">                     </w:t>
      </w:r>
      <w:r w:rsidR="0023351C" w:rsidRPr="00E840BB">
        <w:rPr>
          <w:color w:val="000000"/>
          <w:sz w:val="24"/>
          <w:szCs w:val="24"/>
        </w:rPr>
        <w:t xml:space="preserve">  </w:t>
      </w:r>
    </w:p>
    <w:tbl>
      <w:tblPr>
        <w:tblStyle w:val="af4"/>
        <w:tblW w:w="0" w:type="auto"/>
        <w:tblInd w:w="805" w:type="dxa"/>
        <w:tblLook w:val="04A0"/>
      </w:tblPr>
      <w:tblGrid>
        <w:gridCol w:w="3696"/>
        <w:gridCol w:w="1703"/>
        <w:gridCol w:w="1513"/>
        <w:gridCol w:w="1417"/>
      </w:tblGrid>
      <w:tr w:rsidR="00381B09" w:rsidRPr="00E840BB" w:rsidTr="00762EE7">
        <w:tc>
          <w:tcPr>
            <w:tcW w:w="3696" w:type="dxa"/>
            <w:vMerge w:val="restart"/>
          </w:tcPr>
          <w:p w:rsidR="00381B09" w:rsidRPr="00A40F82" w:rsidRDefault="00381B09" w:rsidP="00381B09">
            <w:pPr>
              <w:jc w:val="center"/>
              <w:rPr>
                <w:color w:val="000000"/>
                <w:sz w:val="24"/>
                <w:szCs w:val="24"/>
              </w:rPr>
            </w:pPr>
            <w:r w:rsidRPr="00A40F82">
              <w:rPr>
                <w:color w:val="000000"/>
                <w:sz w:val="24"/>
                <w:szCs w:val="24"/>
              </w:rPr>
              <w:t>Категорії персоналу</w:t>
            </w:r>
          </w:p>
        </w:tc>
        <w:tc>
          <w:tcPr>
            <w:tcW w:w="3216" w:type="dxa"/>
            <w:gridSpan w:val="2"/>
          </w:tcPr>
          <w:p w:rsidR="00381B09" w:rsidRPr="00A40F82" w:rsidRDefault="00381B09" w:rsidP="00381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1417" w:type="dxa"/>
            <w:vMerge w:val="restart"/>
          </w:tcPr>
          <w:p w:rsidR="00381B09" w:rsidRPr="00A40F82" w:rsidRDefault="00381B09" w:rsidP="002028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Відхилення</w:t>
            </w:r>
          </w:p>
        </w:tc>
      </w:tr>
      <w:tr w:rsidR="00DA6E4F" w:rsidRPr="00E840BB" w:rsidTr="00DA6E4F">
        <w:tc>
          <w:tcPr>
            <w:tcW w:w="3696" w:type="dxa"/>
            <w:vMerge/>
          </w:tcPr>
          <w:p w:rsidR="00DA6E4F" w:rsidRPr="00A40F82" w:rsidRDefault="00DA6E4F" w:rsidP="00E840B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DA6E4F" w:rsidRPr="00DA6E4F" w:rsidRDefault="00DA6E4F" w:rsidP="00046CAD">
            <w:pPr>
              <w:jc w:val="center"/>
              <w:rPr>
                <w:color w:val="000000"/>
                <w:sz w:val="22"/>
                <w:szCs w:val="22"/>
              </w:rPr>
            </w:pPr>
            <w:r w:rsidRPr="00DA6E4F">
              <w:rPr>
                <w:color w:val="000000"/>
                <w:sz w:val="22"/>
                <w:szCs w:val="22"/>
              </w:rPr>
              <w:t>Станом на 01.01.202</w:t>
            </w:r>
            <w:r w:rsidR="00046CAD">
              <w:rPr>
                <w:color w:val="000000"/>
                <w:sz w:val="22"/>
                <w:szCs w:val="22"/>
              </w:rPr>
              <w:t>2</w:t>
            </w:r>
            <w:r w:rsidRPr="00DA6E4F">
              <w:rPr>
                <w:color w:val="000000"/>
                <w:sz w:val="22"/>
                <w:szCs w:val="22"/>
              </w:rPr>
              <w:t xml:space="preserve"> р.</w:t>
            </w:r>
          </w:p>
        </w:tc>
        <w:tc>
          <w:tcPr>
            <w:tcW w:w="1513" w:type="dxa"/>
          </w:tcPr>
          <w:p w:rsidR="00DA6E4F" w:rsidRPr="00DA6E4F" w:rsidRDefault="00DA6E4F" w:rsidP="00046CAD">
            <w:pPr>
              <w:jc w:val="center"/>
              <w:rPr>
                <w:color w:val="000000"/>
                <w:sz w:val="22"/>
                <w:szCs w:val="22"/>
              </w:rPr>
            </w:pPr>
            <w:r w:rsidRPr="00DA6E4F">
              <w:rPr>
                <w:color w:val="000000"/>
                <w:sz w:val="22"/>
                <w:szCs w:val="22"/>
              </w:rPr>
              <w:t xml:space="preserve">Станом на </w:t>
            </w:r>
            <w:r w:rsidR="00046CAD">
              <w:rPr>
                <w:color w:val="000000"/>
                <w:sz w:val="22"/>
                <w:szCs w:val="22"/>
              </w:rPr>
              <w:t>31</w:t>
            </w:r>
            <w:r w:rsidRPr="00DA6E4F">
              <w:rPr>
                <w:color w:val="000000"/>
                <w:sz w:val="22"/>
                <w:szCs w:val="22"/>
              </w:rPr>
              <w:t>.</w:t>
            </w:r>
            <w:r w:rsidR="00046CAD">
              <w:rPr>
                <w:color w:val="000000"/>
                <w:sz w:val="22"/>
                <w:szCs w:val="22"/>
              </w:rPr>
              <w:t>12</w:t>
            </w:r>
            <w:r w:rsidRPr="00DA6E4F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6E4F">
              <w:rPr>
                <w:color w:val="000000"/>
                <w:sz w:val="22"/>
                <w:szCs w:val="22"/>
              </w:rPr>
              <w:t xml:space="preserve"> р.</w:t>
            </w:r>
          </w:p>
        </w:tc>
        <w:tc>
          <w:tcPr>
            <w:tcW w:w="1417" w:type="dxa"/>
            <w:vMerge/>
          </w:tcPr>
          <w:p w:rsidR="00DA6E4F" w:rsidRDefault="00DA6E4F" w:rsidP="0020281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6CAD" w:rsidRPr="00E840BB" w:rsidTr="00DA6E4F">
        <w:tc>
          <w:tcPr>
            <w:tcW w:w="3696" w:type="dxa"/>
          </w:tcPr>
          <w:p w:rsidR="00046CAD" w:rsidRPr="00E840BB" w:rsidRDefault="00046CAD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Лікарі</w:t>
            </w:r>
          </w:p>
        </w:tc>
        <w:tc>
          <w:tcPr>
            <w:tcW w:w="1703" w:type="dxa"/>
          </w:tcPr>
          <w:p w:rsidR="00046CAD" w:rsidRPr="00184655" w:rsidRDefault="00046CAD" w:rsidP="00F10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117,75</w:t>
            </w:r>
          </w:p>
        </w:tc>
        <w:tc>
          <w:tcPr>
            <w:tcW w:w="1513" w:type="dxa"/>
          </w:tcPr>
          <w:p w:rsidR="00046CAD" w:rsidRPr="00184655" w:rsidRDefault="00046CAD" w:rsidP="00046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116,75</w:t>
            </w:r>
          </w:p>
        </w:tc>
        <w:tc>
          <w:tcPr>
            <w:tcW w:w="1417" w:type="dxa"/>
          </w:tcPr>
          <w:p w:rsidR="00046CAD" w:rsidRDefault="00046CAD" w:rsidP="00046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- 1</w:t>
            </w:r>
          </w:p>
        </w:tc>
      </w:tr>
      <w:tr w:rsidR="00046CAD" w:rsidRPr="00E840BB" w:rsidTr="00DA6E4F">
        <w:tc>
          <w:tcPr>
            <w:tcW w:w="3696" w:type="dxa"/>
          </w:tcPr>
          <w:p w:rsidR="00046CAD" w:rsidRPr="00E840BB" w:rsidRDefault="00046CAD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Середній медичний персонал</w:t>
            </w:r>
          </w:p>
        </w:tc>
        <w:tc>
          <w:tcPr>
            <w:tcW w:w="1703" w:type="dxa"/>
          </w:tcPr>
          <w:p w:rsidR="00046CAD" w:rsidRPr="00184655" w:rsidRDefault="00046CAD" w:rsidP="00F10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209,5</w:t>
            </w:r>
          </w:p>
        </w:tc>
        <w:tc>
          <w:tcPr>
            <w:tcW w:w="1513" w:type="dxa"/>
          </w:tcPr>
          <w:p w:rsidR="00046CAD" w:rsidRPr="00184655" w:rsidRDefault="00046CAD" w:rsidP="00046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204,5</w:t>
            </w:r>
          </w:p>
        </w:tc>
        <w:tc>
          <w:tcPr>
            <w:tcW w:w="1417" w:type="dxa"/>
          </w:tcPr>
          <w:p w:rsidR="00046CAD" w:rsidRDefault="00046CAD" w:rsidP="00046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- 5</w:t>
            </w:r>
          </w:p>
        </w:tc>
      </w:tr>
      <w:tr w:rsidR="00046CAD" w:rsidRPr="00E840BB" w:rsidTr="00DA6E4F">
        <w:tc>
          <w:tcPr>
            <w:tcW w:w="3696" w:type="dxa"/>
          </w:tcPr>
          <w:p w:rsidR="00046CAD" w:rsidRPr="00E840BB" w:rsidRDefault="00046CAD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Молодший медичний персонал</w:t>
            </w:r>
          </w:p>
        </w:tc>
        <w:tc>
          <w:tcPr>
            <w:tcW w:w="1703" w:type="dxa"/>
          </w:tcPr>
          <w:p w:rsidR="00046CAD" w:rsidRPr="00184655" w:rsidRDefault="00046CAD" w:rsidP="00F10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122,25</w:t>
            </w:r>
          </w:p>
        </w:tc>
        <w:tc>
          <w:tcPr>
            <w:tcW w:w="1513" w:type="dxa"/>
          </w:tcPr>
          <w:p w:rsidR="00046CAD" w:rsidRPr="00184655" w:rsidRDefault="00046CAD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417" w:type="dxa"/>
          </w:tcPr>
          <w:p w:rsidR="00046CAD" w:rsidRDefault="00046CAD" w:rsidP="00046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- 26,25</w:t>
            </w:r>
          </w:p>
        </w:tc>
      </w:tr>
      <w:tr w:rsidR="00046CAD" w:rsidRPr="00E840BB" w:rsidTr="00DA6E4F">
        <w:tc>
          <w:tcPr>
            <w:tcW w:w="3696" w:type="dxa"/>
          </w:tcPr>
          <w:p w:rsidR="00046CAD" w:rsidRPr="00E840BB" w:rsidRDefault="00046CAD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Інші</w:t>
            </w:r>
          </w:p>
        </w:tc>
        <w:tc>
          <w:tcPr>
            <w:tcW w:w="1703" w:type="dxa"/>
          </w:tcPr>
          <w:p w:rsidR="00046CAD" w:rsidRPr="00184655" w:rsidRDefault="00046CAD" w:rsidP="00F10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1513" w:type="dxa"/>
          </w:tcPr>
          <w:p w:rsidR="00046CAD" w:rsidRPr="00184655" w:rsidRDefault="00046CAD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79,25</w:t>
            </w:r>
          </w:p>
        </w:tc>
        <w:tc>
          <w:tcPr>
            <w:tcW w:w="1417" w:type="dxa"/>
          </w:tcPr>
          <w:p w:rsidR="00046CAD" w:rsidRDefault="00046CAD" w:rsidP="00046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- 10,75</w:t>
            </w:r>
          </w:p>
        </w:tc>
      </w:tr>
      <w:tr w:rsidR="00046CAD" w:rsidRPr="00E840BB" w:rsidTr="00DA6E4F">
        <w:tc>
          <w:tcPr>
            <w:tcW w:w="3696" w:type="dxa"/>
          </w:tcPr>
          <w:p w:rsidR="00046CAD" w:rsidRPr="00E840BB" w:rsidRDefault="00046CAD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703" w:type="dxa"/>
          </w:tcPr>
          <w:p w:rsidR="00046CAD" w:rsidRPr="00184655" w:rsidRDefault="00046CAD" w:rsidP="00F10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539,5</w:t>
            </w:r>
          </w:p>
        </w:tc>
        <w:tc>
          <w:tcPr>
            <w:tcW w:w="1513" w:type="dxa"/>
          </w:tcPr>
          <w:p w:rsidR="00046CAD" w:rsidRPr="00184655" w:rsidRDefault="00046CAD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496,5</w:t>
            </w:r>
          </w:p>
        </w:tc>
        <w:tc>
          <w:tcPr>
            <w:tcW w:w="1417" w:type="dxa"/>
          </w:tcPr>
          <w:p w:rsidR="00046CAD" w:rsidRDefault="00046CAD" w:rsidP="00046CA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- 43</w:t>
            </w:r>
          </w:p>
        </w:tc>
      </w:tr>
    </w:tbl>
    <w:p w:rsidR="004F7101" w:rsidRDefault="0023351C" w:rsidP="00E840BB">
      <w:pPr>
        <w:jc w:val="both"/>
        <w:rPr>
          <w:color w:val="000000"/>
          <w:sz w:val="24"/>
          <w:szCs w:val="24"/>
        </w:rPr>
      </w:pPr>
      <w:r w:rsidRPr="00E840BB">
        <w:rPr>
          <w:color w:val="000000"/>
          <w:sz w:val="24"/>
          <w:szCs w:val="24"/>
        </w:rPr>
        <w:t xml:space="preserve"> </w:t>
      </w:r>
      <w:r w:rsidR="0011438F" w:rsidRPr="00E840BB">
        <w:rPr>
          <w:color w:val="000000"/>
          <w:sz w:val="24"/>
          <w:szCs w:val="24"/>
        </w:rPr>
        <w:t xml:space="preserve">           </w:t>
      </w:r>
      <w:r w:rsidR="002D7932">
        <w:rPr>
          <w:color w:val="000000"/>
          <w:sz w:val="24"/>
          <w:szCs w:val="24"/>
        </w:rPr>
        <w:t xml:space="preserve"> </w:t>
      </w:r>
    </w:p>
    <w:p w:rsidR="004F7101" w:rsidRDefault="0011438F" w:rsidP="004F7101">
      <w:pPr>
        <w:ind w:left="360"/>
        <w:jc w:val="both"/>
        <w:rPr>
          <w:color w:val="000000"/>
          <w:sz w:val="24"/>
          <w:szCs w:val="24"/>
        </w:rPr>
      </w:pPr>
      <w:r w:rsidRPr="00E840BB">
        <w:rPr>
          <w:color w:val="000000"/>
          <w:sz w:val="24"/>
          <w:szCs w:val="24"/>
        </w:rPr>
        <w:t xml:space="preserve">    </w:t>
      </w:r>
      <w:r w:rsidR="004F7101">
        <w:rPr>
          <w:color w:val="000000"/>
          <w:sz w:val="24"/>
          <w:szCs w:val="24"/>
        </w:rPr>
        <w:t xml:space="preserve">               </w:t>
      </w:r>
      <w:r w:rsidR="004F7101" w:rsidRPr="00D547C1">
        <w:rPr>
          <w:color w:val="000000"/>
          <w:sz w:val="24"/>
          <w:szCs w:val="24"/>
        </w:rPr>
        <w:t xml:space="preserve">Протягом звітного періоду здійснено </w:t>
      </w:r>
      <w:r w:rsidR="00481703">
        <w:rPr>
          <w:color w:val="000000"/>
          <w:sz w:val="24"/>
          <w:szCs w:val="24"/>
        </w:rPr>
        <w:t>раціоналізацію</w:t>
      </w:r>
      <w:r w:rsidR="004F7101" w:rsidRPr="00D547C1">
        <w:rPr>
          <w:color w:val="000000"/>
          <w:sz w:val="24"/>
          <w:szCs w:val="24"/>
        </w:rPr>
        <w:t xml:space="preserve"> інфраструктури підприємства </w:t>
      </w:r>
    </w:p>
    <w:p w:rsidR="004F7101" w:rsidRDefault="004F7101" w:rsidP="004F7101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D547C1">
        <w:rPr>
          <w:color w:val="000000"/>
          <w:sz w:val="24"/>
          <w:szCs w:val="24"/>
        </w:rPr>
        <w:t>об’є</w:t>
      </w:r>
      <w:r>
        <w:rPr>
          <w:color w:val="000000"/>
          <w:sz w:val="24"/>
          <w:szCs w:val="24"/>
        </w:rPr>
        <w:t xml:space="preserve">днання жіночої консультації </w:t>
      </w:r>
      <w:r w:rsidRPr="00D547C1">
        <w:rPr>
          <w:color w:val="000000"/>
          <w:sz w:val="24"/>
          <w:szCs w:val="24"/>
        </w:rPr>
        <w:t xml:space="preserve">та </w:t>
      </w:r>
      <w:r>
        <w:rPr>
          <w:color w:val="000000"/>
          <w:sz w:val="24"/>
          <w:szCs w:val="24"/>
        </w:rPr>
        <w:t>Центу планування сім</w:t>
      </w:r>
      <w:r w:rsidRPr="00046CAD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ї в один структурний підрозділ</w:t>
      </w:r>
      <w:r w:rsidRPr="00D547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 відділення патології вагітності № 1 та №2).</w:t>
      </w:r>
    </w:p>
    <w:p w:rsidR="001A3E62" w:rsidRPr="00466BDD" w:rsidRDefault="004F7101" w:rsidP="00D95C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r w:rsidR="00F1412F">
        <w:rPr>
          <w:color w:val="000000"/>
          <w:sz w:val="24"/>
          <w:szCs w:val="24"/>
        </w:rPr>
        <w:t xml:space="preserve">Динаміка доходів має позитивний результат. </w:t>
      </w:r>
      <w:r w:rsidR="00D02148">
        <w:rPr>
          <w:color w:val="000000"/>
          <w:sz w:val="24"/>
          <w:szCs w:val="24"/>
        </w:rPr>
        <w:t>У</w:t>
      </w:r>
      <w:r w:rsidR="00D95CC3" w:rsidRPr="00D95CC3">
        <w:rPr>
          <w:color w:val="000000"/>
          <w:sz w:val="24"/>
          <w:szCs w:val="24"/>
        </w:rPr>
        <w:t xml:space="preserve"> 202</w:t>
      </w:r>
      <w:r w:rsidR="00914428">
        <w:rPr>
          <w:color w:val="000000"/>
          <w:sz w:val="24"/>
          <w:szCs w:val="24"/>
        </w:rPr>
        <w:t>2</w:t>
      </w:r>
      <w:r w:rsidR="00D95CC3" w:rsidRPr="00D95CC3">
        <w:rPr>
          <w:color w:val="000000"/>
          <w:sz w:val="24"/>
          <w:szCs w:val="24"/>
        </w:rPr>
        <w:t xml:space="preserve"> р</w:t>
      </w:r>
      <w:r w:rsidR="00914428">
        <w:rPr>
          <w:color w:val="000000"/>
          <w:sz w:val="24"/>
          <w:szCs w:val="24"/>
        </w:rPr>
        <w:t>оці</w:t>
      </w:r>
      <w:r w:rsidR="00D95CC3" w:rsidRPr="00D95CC3">
        <w:rPr>
          <w:color w:val="000000"/>
          <w:sz w:val="24"/>
          <w:szCs w:val="24"/>
        </w:rPr>
        <w:t xml:space="preserve"> загальний обсяг дохідної частини</w:t>
      </w:r>
      <w:r w:rsidR="00D95CC3">
        <w:rPr>
          <w:color w:val="000000"/>
          <w:sz w:val="24"/>
          <w:szCs w:val="24"/>
        </w:rPr>
        <w:t xml:space="preserve"> </w:t>
      </w:r>
      <w:r w:rsidR="00D02148">
        <w:rPr>
          <w:color w:val="000000"/>
          <w:sz w:val="24"/>
          <w:szCs w:val="24"/>
        </w:rPr>
        <w:t xml:space="preserve">збільшився на </w:t>
      </w:r>
      <w:r w:rsidR="00E2332A">
        <w:rPr>
          <w:color w:val="000000"/>
          <w:sz w:val="24"/>
          <w:szCs w:val="24"/>
        </w:rPr>
        <w:t>16,4</w:t>
      </w:r>
      <w:r w:rsidR="00D02148">
        <w:rPr>
          <w:color w:val="000000"/>
          <w:sz w:val="24"/>
          <w:szCs w:val="24"/>
        </w:rPr>
        <w:t xml:space="preserve"> %  </w:t>
      </w:r>
      <w:r w:rsidR="00E2332A">
        <w:rPr>
          <w:color w:val="000000"/>
          <w:sz w:val="24"/>
          <w:szCs w:val="24"/>
        </w:rPr>
        <w:t>порівняно з 2021 роком.</w:t>
      </w:r>
      <w:r w:rsidR="00D02148">
        <w:rPr>
          <w:color w:val="000000"/>
          <w:sz w:val="24"/>
          <w:szCs w:val="24"/>
        </w:rPr>
        <w:t xml:space="preserve"> </w:t>
      </w:r>
      <w:r w:rsidR="00E2332A">
        <w:rPr>
          <w:color w:val="000000"/>
          <w:sz w:val="24"/>
          <w:szCs w:val="24"/>
        </w:rPr>
        <w:t>П</w:t>
      </w:r>
      <w:r w:rsidR="00D02148">
        <w:rPr>
          <w:color w:val="000000"/>
          <w:sz w:val="24"/>
          <w:szCs w:val="24"/>
        </w:rPr>
        <w:t xml:space="preserve">итома вага бюджетного фінансування у звітному періоді </w:t>
      </w:r>
      <w:r w:rsidR="000C7DCD">
        <w:rPr>
          <w:color w:val="000000"/>
          <w:sz w:val="24"/>
          <w:szCs w:val="24"/>
        </w:rPr>
        <w:t xml:space="preserve">зменшилась на </w:t>
      </w:r>
      <w:r w:rsidR="003D0FC3">
        <w:rPr>
          <w:color w:val="000000"/>
          <w:sz w:val="24"/>
          <w:szCs w:val="24"/>
        </w:rPr>
        <w:t>1,5</w:t>
      </w:r>
      <w:r w:rsidR="000C7DCD">
        <w:rPr>
          <w:color w:val="000000"/>
          <w:sz w:val="24"/>
          <w:szCs w:val="24"/>
        </w:rPr>
        <w:t xml:space="preserve"> %</w:t>
      </w:r>
      <w:r w:rsidR="00D02148">
        <w:rPr>
          <w:color w:val="000000"/>
          <w:sz w:val="24"/>
          <w:szCs w:val="24"/>
        </w:rPr>
        <w:t xml:space="preserve"> ,</w:t>
      </w:r>
      <w:r w:rsidR="000C7DCD">
        <w:rPr>
          <w:color w:val="000000"/>
          <w:sz w:val="24"/>
          <w:szCs w:val="24"/>
        </w:rPr>
        <w:t xml:space="preserve"> а</w:t>
      </w:r>
      <w:r w:rsidR="00D02148">
        <w:rPr>
          <w:color w:val="000000"/>
          <w:sz w:val="24"/>
          <w:szCs w:val="24"/>
        </w:rPr>
        <w:t xml:space="preserve"> власних коштів</w:t>
      </w:r>
      <w:r w:rsidR="000C7DCD">
        <w:rPr>
          <w:color w:val="000000"/>
          <w:sz w:val="24"/>
          <w:szCs w:val="24"/>
        </w:rPr>
        <w:t xml:space="preserve"> підприємства</w:t>
      </w:r>
      <w:r w:rsidR="00D02148">
        <w:rPr>
          <w:color w:val="000000"/>
          <w:sz w:val="24"/>
          <w:szCs w:val="24"/>
        </w:rPr>
        <w:t xml:space="preserve"> </w:t>
      </w:r>
      <w:r w:rsidR="000C7DCD">
        <w:rPr>
          <w:color w:val="000000"/>
          <w:sz w:val="24"/>
          <w:szCs w:val="24"/>
        </w:rPr>
        <w:t xml:space="preserve">зросла </w:t>
      </w:r>
      <w:r w:rsidR="00504416">
        <w:rPr>
          <w:color w:val="000000"/>
          <w:sz w:val="24"/>
          <w:szCs w:val="24"/>
        </w:rPr>
        <w:t xml:space="preserve">на </w:t>
      </w:r>
      <w:r w:rsidR="003D0FC3">
        <w:rPr>
          <w:color w:val="000000"/>
          <w:sz w:val="24"/>
          <w:szCs w:val="24"/>
        </w:rPr>
        <w:t>11</w:t>
      </w:r>
      <w:r w:rsidR="00504416">
        <w:rPr>
          <w:color w:val="000000"/>
          <w:sz w:val="24"/>
          <w:szCs w:val="24"/>
        </w:rPr>
        <w:t xml:space="preserve"> % порівняно з </w:t>
      </w:r>
      <w:r w:rsidR="000C7DCD">
        <w:rPr>
          <w:color w:val="000000"/>
          <w:sz w:val="24"/>
          <w:szCs w:val="24"/>
        </w:rPr>
        <w:t>попередн</w:t>
      </w:r>
      <w:r w:rsidR="00504416">
        <w:rPr>
          <w:color w:val="000000"/>
          <w:sz w:val="24"/>
          <w:szCs w:val="24"/>
        </w:rPr>
        <w:t>ім</w:t>
      </w:r>
      <w:r w:rsidR="000C7DCD">
        <w:rPr>
          <w:color w:val="000000"/>
          <w:sz w:val="24"/>
          <w:szCs w:val="24"/>
        </w:rPr>
        <w:t xml:space="preserve"> ро</w:t>
      </w:r>
      <w:r w:rsidR="00504416">
        <w:rPr>
          <w:color w:val="000000"/>
          <w:sz w:val="24"/>
          <w:szCs w:val="24"/>
        </w:rPr>
        <w:t>ком</w:t>
      </w:r>
      <w:r w:rsidR="000C7DCD">
        <w:rPr>
          <w:color w:val="000000"/>
          <w:sz w:val="24"/>
          <w:szCs w:val="24"/>
        </w:rPr>
        <w:t>.</w:t>
      </w:r>
    </w:p>
    <w:p w:rsidR="0043633D" w:rsidRDefault="0043633D" w:rsidP="00E840BB">
      <w:pPr>
        <w:jc w:val="both"/>
        <w:rPr>
          <w:color w:val="000000"/>
          <w:sz w:val="24"/>
          <w:szCs w:val="24"/>
        </w:rPr>
      </w:pPr>
    </w:p>
    <w:tbl>
      <w:tblPr>
        <w:tblStyle w:val="a7"/>
        <w:tblW w:w="10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6"/>
        <w:gridCol w:w="1559"/>
        <w:gridCol w:w="1560"/>
      </w:tblGrid>
      <w:tr w:rsidR="002C2270" w:rsidRPr="005D5ABD" w:rsidTr="00D52159">
        <w:trPr>
          <w:trHeight w:val="30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52D0F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52D0F">
              <w:rPr>
                <w:sz w:val="24"/>
                <w:szCs w:val="24"/>
              </w:rPr>
              <w:t>Вид надходжень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270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52D0F">
              <w:rPr>
                <w:sz w:val="24"/>
                <w:szCs w:val="24"/>
              </w:rPr>
              <w:t xml:space="preserve">Обсяг надходжень, </w:t>
            </w:r>
            <w:r>
              <w:rPr>
                <w:sz w:val="24"/>
                <w:szCs w:val="24"/>
              </w:rPr>
              <w:t>тис.грн</w:t>
            </w:r>
          </w:p>
          <w:p w:rsidR="002C2270" w:rsidRPr="00052D0F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C2270" w:rsidRPr="005D5ABD" w:rsidTr="00D52159">
        <w:trPr>
          <w:trHeight w:val="30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52D0F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270" w:rsidRPr="00052D0F" w:rsidRDefault="002C2270" w:rsidP="00B14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146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52D0F" w:rsidRDefault="002C2270" w:rsidP="0023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30D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рік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Усього доходів,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E840BB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112 168,9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2F10AE" w:rsidP="0032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134 109,3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E840BB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Чистий дохід від реалізації послуг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072B45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94 273,8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072B45" w:rsidRDefault="002F10AE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108 416,0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за програмою медичних гарантій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072B45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89 637,8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072B45" w:rsidRDefault="002F10AE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105 159,1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від платних послуг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072B45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4 636,0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072B45" w:rsidRDefault="0091442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3 256,9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Інші операційні доходи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E840BB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15 040,3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E15157" w:rsidP="00E15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19 948,6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з місцевого бюджету за цільовими програмами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072B45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6 864,1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072B45" w:rsidRDefault="0091442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7 139,0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lastRenderedPageBreak/>
              <w:t>Дохід від операційної оренди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072B45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072B45" w:rsidRDefault="00E15157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1 992,0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Послуги з освіти (проходження інтернатури на контрактній основі)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072B45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072B45" w:rsidRDefault="0091442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133,0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072B45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Дохід від господарської діяльності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Default="00E15157" w:rsidP="00CD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237,0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% банку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Default="0091442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793,7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Благодійна (гуманітарна) допомога (натуральна форма)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Default="00914428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Default="00E15157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3 449,5</w:t>
            </w:r>
          </w:p>
        </w:tc>
      </w:tr>
      <w:tr w:rsidR="00B146D1" w:rsidRPr="00E840BB" w:rsidTr="00D52159">
        <w:trPr>
          <w:trHeight w:val="37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Дохід від безоплатно одержаних оборотних активів у порядку централізованого постачання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072B45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6 753,8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072B45" w:rsidRDefault="00B146D1" w:rsidP="00914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914428">
              <w:rPr>
                <w:color w:val="000000"/>
                <w:sz w:val="24"/>
                <w:szCs w:val="24"/>
                <w:lang w:val="ru-RU"/>
              </w:rPr>
              <w:t> 204,4</w:t>
            </w:r>
          </w:p>
        </w:tc>
      </w:tr>
      <w:tr w:rsidR="00B146D1" w:rsidRPr="00E840BB" w:rsidTr="00D52159">
        <w:trPr>
          <w:trHeight w:val="31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Інші доходи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E840BB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2 854,7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E15157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5 744,7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Одержано дохід від ліквідації основних засобів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E15157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15157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15157" w:rsidRDefault="00E15157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15157">
              <w:rPr>
                <w:color w:val="000000"/>
                <w:sz w:val="24"/>
                <w:szCs w:val="24"/>
              </w:rPr>
              <w:t>2 523,2</w:t>
            </w:r>
          </w:p>
        </w:tc>
      </w:tr>
      <w:tr w:rsidR="00B146D1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B146D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Дохід від безоплатно одержаних основних засобів у сумі пропорційній нарахованій амортизації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D1" w:rsidRPr="00E840BB" w:rsidRDefault="00B146D1" w:rsidP="00860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6D1" w:rsidRPr="00E840BB" w:rsidRDefault="00E15157" w:rsidP="00AE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3 221,5</w:t>
            </w:r>
          </w:p>
        </w:tc>
      </w:tr>
    </w:tbl>
    <w:p w:rsidR="00AE6EA8" w:rsidRDefault="001A3E62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FD128E" w:rsidRDefault="001C2D46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0406BF">
        <w:rPr>
          <w:color w:val="000000"/>
          <w:sz w:val="24"/>
          <w:szCs w:val="24"/>
        </w:rPr>
        <w:t>Економічна діяльність закладу тісно пов’язана зі співпрацею з Національною службою здоров’я України.</w:t>
      </w:r>
      <w:r w:rsidR="00177664">
        <w:rPr>
          <w:color w:val="000000"/>
          <w:sz w:val="24"/>
          <w:szCs w:val="24"/>
        </w:rPr>
        <w:t xml:space="preserve"> </w:t>
      </w:r>
      <w:r w:rsidR="00FD128E">
        <w:rPr>
          <w:color w:val="000000"/>
          <w:sz w:val="24"/>
          <w:szCs w:val="24"/>
        </w:rPr>
        <w:t>Згідно з укладеними договорами з НСЗУ на медичне обслуговування населення за програмою медичних гарантій для вторинної (спеціалізованої)</w:t>
      </w:r>
      <w:r w:rsidR="006F5D7B">
        <w:rPr>
          <w:color w:val="000000"/>
          <w:sz w:val="24"/>
          <w:szCs w:val="24"/>
        </w:rPr>
        <w:t xml:space="preserve"> медичної допомоги </w:t>
      </w:r>
      <w:r w:rsidR="00230DAD">
        <w:rPr>
          <w:color w:val="000000"/>
          <w:sz w:val="24"/>
          <w:szCs w:val="24"/>
        </w:rPr>
        <w:t xml:space="preserve">у 2022 році </w:t>
      </w:r>
      <w:r w:rsidR="006F5D7B">
        <w:rPr>
          <w:color w:val="000000"/>
          <w:sz w:val="24"/>
          <w:szCs w:val="24"/>
        </w:rPr>
        <w:t>було отриман</w:t>
      </w:r>
      <w:r w:rsidR="00230DAD">
        <w:rPr>
          <w:color w:val="000000"/>
          <w:sz w:val="24"/>
          <w:szCs w:val="24"/>
        </w:rPr>
        <w:t xml:space="preserve">о </w:t>
      </w:r>
      <w:r w:rsidR="000406BF">
        <w:rPr>
          <w:color w:val="000000"/>
          <w:sz w:val="24"/>
          <w:szCs w:val="24"/>
        </w:rPr>
        <w:t>105 159,1</w:t>
      </w:r>
      <w:r w:rsidR="006F5D7B">
        <w:rPr>
          <w:color w:val="000000"/>
          <w:sz w:val="24"/>
          <w:szCs w:val="24"/>
        </w:rPr>
        <w:t xml:space="preserve"> тис.грн</w:t>
      </w:r>
      <w:r w:rsidR="000406BF">
        <w:rPr>
          <w:color w:val="000000"/>
          <w:sz w:val="24"/>
          <w:szCs w:val="24"/>
        </w:rPr>
        <w:t>, що на 17,3 % більше порівняно з попереднім роком,</w:t>
      </w:r>
      <w:r w:rsidR="006F5D7B">
        <w:rPr>
          <w:color w:val="000000"/>
          <w:sz w:val="24"/>
          <w:szCs w:val="24"/>
        </w:rPr>
        <w:t xml:space="preserve"> в розрізі наступних пакетів:</w:t>
      </w:r>
    </w:p>
    <w:p w:rsidR="002A62D4" w:rsidRPr="003E51BA" w:rsidRDefault="002A62D4" w:rsidP="00E840BB">
      <w:pPr>
        <w:jc w:val="both"/>
        <w:rPr>
          <w:color w:val="000000"/>
          <w:sz w:val="24"/>
          <w:szCs w:val="24"/>
        </w:rPr>
      </w:pPr>
      <w:r w:rsidRPr="003E51BA">
        <w:rPr>
          <w:color w:val="000000"/>
          <w:sz w:val="24"/>
          <w:szCs w:val="24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662"/>
        <w:gridCol w:w="1559"/>
        <w:gridCol w:w="1559"/>
      </w:tblGrid>
      <w:tr w:rsidR="003535C0" w:rsidRPr="003E51BA" w:rsidTr="003535C0">
        <w:trPr>
          <w:trHeight w:val="390"/>
        </w:trPr>
        <w:tc>
          <w:tcPr>
            <w:tcW w:w="568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№ з/п 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9C774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Найменування  пакету медичних послуг</w:t>
            </w:r>
          </w:p>
        </w:tc>
        <w:tc>
          <w:tcPr>
            <w:tcW w:w="3118" w:type="dxa"/>
            <w:gridSpan w:val="2"/>
          </w:tcPr>
          <w:p w:rsidR="003535C0" w:rsidRPr="003E51BA" w:rsidRDefault="003535C0" w:rsidP="00C5436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Обсяг надходжень,  тис.грн</w:t>
            </w:r>
          </w:p>
        </w:tc>
      </w:tr>
      <w:tr w:rsidR="003535C0" w:rsidRPr="003E51BA" w:rsidTr="003535C0">
        <w:trPr>
          <w:trHeight w:val="343"/>
        </w:trPr>
        <w:tc>
          <w:tcPr>
            <w:tcW w:w="568" w:type="dxa"/>
            <w:vMerge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5C0" w:rsidRPr="003E51BA" w:rsidRDefault="003535C0" w:rsidP="00B146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</w:t>
            </w:r>
            <w:r w:rsidR="00B146D1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B146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</w:t>
            </w:r>
            <w:r w:rsidR="00B146D1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рік</w:t>
            </w:r>
          </w:p>
        </w:tc>
      </w:tr>
      <w:tr w:rsidR="00B146D1" w:rsidRPr="003E51BA" w:rsidTr="003535C0">
        <w:trPr>
          <w:trHeight w:val="355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Хірургічні операції дорослим та дітям у стаціонарних умовах </w:t>
            </w:r>
          </w:p>
        </w:tc>
        <w:tc>
          <w:tcPr>
            <w:tcW w:w="1559" w:type="dxa"/>
          </w:tcPr>
          <w:p w:rsidR="00B146D1" w:rsidRPr="003E51BA" w:rsidRDefault="00B146D1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17 682,8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F51D3C" w:rsidP="00B146D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6 842,2</w:t>
            </w:r>
          </w:p>
        </w:tc>
      </w:tr>
      <w:tr w:rsidR="00B146D1" w:rsidRPr="003E51BA" w:rsidTr="003535C0">
        <w:trPr>
          <w:trHeight w:val="458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Стаціонарна допомога дорослим та дітям без проведення хірургічних операцій </w:t>
            </w:r>
          </w:p>
        </w:tc>
        <w:tc>
          <w:tcPr>
            <w:tcW w:w="1559" w:type="dxa"/>
          </w:tcPr>
          <w:p w:rsidR="00B146D1" w:rsidRPr="003E51BA" w:rsidRDefault="00B146D1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12 466,7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F51D3C" w:rsidP="009B461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9 259,2</w:t>
            </w:r>
          </w:p>
        </w:tc>
      </w:tr>
      <w:tr w:rsidR="00B146D1" w:rsidRPr="003E51BA" w:rsidTr="003535C0">
        <w:trPr>
          <w:trHeight w:val="256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Медична допомога при пологах </w:t>
            </w:r>
          </w:p>
        </w:tc>
        <w:tc>
          <w:tcPr>
            <w:tcW w:w="1559" w:type="dxa"/>
          </w:tcPr>
          <w:p w:rsidR="00B146D1" w:rsidRPr="003E51BA" w:rsidRDefault="00B146D1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19 140,2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F51D3C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38 634,6</w:t>
            </w:r>
          </w:p>
        </w:tc>
      </w:tr>
      <w:tr w:rsidR="00B146D1" w:rsidRPr="003E51BA" w:rsidTr="003535C0">
        <w:trPr>
          <w:trHeight w:val="458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Медична допомога новонародженим у складних неонатальних випадках </w:t>
            </w:r>
          </w:p>
        </w:tc>
        <w:tc>
          <w:tcPr>
            <w:tcW w:w="1559" w:type="dxa"/>
          </w:tcPr>
          <w:p w:rsidR="00B146D1" w:rsidRPr="003E51BA" w:rsidRDefault="00B146D1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7 951,5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F51D3C" w:rsidP="00F51D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14 573,5</w:t>
            </w:r>
          </w:p>
        </w:tc>
      </w:tr>
      <w:tr w:rsidR="00B146D1" w:rsidRPr="003E51BA" w:rsidTr="009B57AB">
        <w:trPr>
          <w:trHeight w:val="530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9B57AB" w:rsidP="008708C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Профілактика,діагностика, спостереження, лікування та реабілітація пацієнтів в амбулаторних умовах</w:t>
            </w:r>
          </w:p>
        </w:tc>
        <w:tc>
          <w:tcPr>
            <w:tcW w:w="1559" w:type="dxa"/>
          </w:tcPr>
          <w:p w:rsidR="00B146D1" w:rsidRPr="003E51BA" w:rsidRDefault="00B146D1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10 536,5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F51D3C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19 191,2</w:t>
            </w:r>
          </w:p>
        </w:tc>
      </w:tr>
      <w:tr w:rsidR="00B146D1" w:rsidRPr="003E51BA" w:rsidTr="003535C0">
        <w:trPr>
          <w:trHeight w:val="299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Мамографія </w:t>
            </w:r>
          </w:p>
        </w:tc>
        <w:tc>
          <w:tcPr>
            <w:tcW w:w="1559" w:type="dxa"/>
          </w:tcPr>
          <w:p w:rsidR="00B146D1" w:rsidRPr="003E51BA" w:rsidRDefault="00B146D1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301,5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F51D3C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545</w:t>
            </w:r>
            <w:r w:rsidR="00B146D1">
              <w:rPr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B146D1" w:rsidRPr="003E51BA" w:rsidTr="003535C0">
        <w:trPr>
          <w:trHeight w:val="299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Гістероскопія</w:t>
            </w:r>
          </w:p>
        </w:tc>
        <w:tc>
          <w:tcPr>
            <w:tcW w:w="1559" w:type="dxa"/>
          </w:tcPr>
          <w:p w:rsidR="00B146D1" w:rsidRDefault="00B146D1" w:rsidP="008605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Default="00B146D1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235,2</w:t>
            </w:r>
          </w:p>
        </w:tc>
      </w:tr>
      <w:tr w:rsidR="00B146D1" w:rsidRPr="003E51BA" w:rsidTr="003535C0">
        <w:trPr>
          <w:trHeight w:val="261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Ведення вагітності</w:t>
            </w:r>
            <w:r w:rsidR="009B57AB">
              <w:rPr>
                <w:bCs/>
                <w:color w:val="000000"/>
                <w:sz w:val="24"/>
                <w:szCs w:val="24"/>
              </w:rPr>
              <w:t xml:space="preserve"> в амбулаторних умовах</w:t>
            </w:r>
          </w:p>
        </w:tc>
        <w:tc>
          <w:tcPr>
            <w:tcW w:w="1559" w:type="dxa"/>
          </w:tcPr>
          <w:p w:rsidR="00B146D1" w:rsidRPr="003E51BA" w:rsidRDefault="00B146D1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7 542,7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F51D3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  <w:r w:rsidR="00F51D3C">
              <w:rPr>
                <w:bCs/>
                <w:color w:val="000000"/>
                <w:sz w:val="24"/>
                <w:szCs w:val="24"/>
              </w:rPr>
              <w:t> 676,9</w:t>
            </w:r>
          </w:p>
        </w:tc>
      </w:tr>
      <w:tr w:rsidR="00B146D1" w:rsidRPr="003E51BA" w:rsidTr="003535C0">
        <w:trPr>
          <w:trHeight w:val="521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9B57AB" w:rsidRDefault="00B146D1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Стаціонарна </w:t>
            </w:r>
            <w:r w:rsidR="009B57AB">
              <w:rPr>
                <w:bCs/>
                <w:color w:val="000000"/>
                <w:sz w:val="24"/>
                <w:szCs w:val="24"/>
              </w:rPr>
              <w:t xml:space="preserve">медична 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допомога пацієнтам з гострою респіраторною хворобою </w:t>
            </w:r>
            <w:r w:rsidRPr="003E51BA">
              <w:rPr>
                <w:bCs/>
                <w:color w:val="000000"/>
                <w:sz w:val="24"/>
                <w:szCs w:val="24"/>
                <w:lang w:val="en-US"/>
              </w:rPr>
              <w:t>COVID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-19, спричиненою </w:t>
            </w:r>
          </w:p>
          <w:p w:rsidR="00B146D1" w:rsidRPr="003E51BA" w:rsidRDefault="009B57AB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корона</w:t>
            </w:r>
            <w:r w:rsidR="00B146D1" w:rsidRPr="003E51BA">
              <w:rPr>
                <w:bCs/>
                <w:color w:val="000000"/>
                <w:sz w:val="24"/>
                <w:szCs w:val="24"/>
              </w:rPr>
              <w:t xml:space="preserve">вірусом SARS-CoV-2 </w:t>
            </w:r>
          </w:p>
        </w:tc>
        <w:tc>
          <w:tcPr>
            <w:tcW w:w="1559" w:type="dxa"/>
          </w:tcPr>
          <w:p w:rsidR="00B146D1" w:rsidRPr="003E51BA" w:rsidRDefault="00B146D1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9 881,2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4 096,4</w:t>
            </w:r>
          </w:p>
        </w:tc>
      </w:tr>
      <w:tr w:rsidR="00B146D1" w:rsidRPr="003E51BA" w:rsidTr="003535C0">
        <w:trPr>
          <w:trHeight w:val="525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FD128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Перехідне фінансове забезпечення комплексного надання медичних послуг в частині умов, які застосовуються з 1 ве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есня 2020 року </w:t>
            </w:r>
          </w:p>
        </w:tc>
        <w:tc>
          <w:tcPr>
            <w:tcW w:w="1559" w:type="dxa"/>
          </w:tcPr>
          <w:p w:rsidR="00B146D1" w:rsidRPr="003E51BA" w:rsidRDefault="00B146D1" w:rsidP="008605F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4 134,7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B146D1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146D1" w:rsidRPr="003E51BA" w:rsidTr="00355003">
        <w:trPr>
          <w:trHeight w:val="310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Default="00B146D1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E51BA" w:rsidRDefault="009A0BC1" w:rsidP="00FD128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Хірургічні операції дорослим та дітям в умовах стаціонару одного дня</w:t>
            </w:r>
          </w:p>
        </w:tc>
        <w:tc>
          <w:tcPr>
            <w:tcW w:w="1559" w:type="dxa"/>
          </w:tcPr>
          <w:p w:rsidR="00B146D1" w:rsidRDefault="00B146D1" w:rsidP="008605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Default="00F51D3C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40,3</w:t>
            </w:r>
          </w:p>
        </w:tc>
      </w:tr>
      <w:tr w:rsidR="00B146D1" w:rsidRPr="003E51BA" w:rsidTr="003535C0">
        <w:trPr>
          <w:trHeight w:val="525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Default="00B146D1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Default="009A0BC1" w:rsidP="00FD128E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Забезпечення кадрового потенціалу системи охорони здоров</w:t>
            </w:r>
            <w:r w:rsidRPr="009A0BC1">
              <w:rPr>
                <w:bCs/>
                <w:color w:val="000000"/>
                <w:sz w:val="24"/>
                <w:szCs w:val="24"/>
                <w:lang w:val="ru-RU"/>
              </w:rPr>
              <w:t>’</w:t>
            </w:r>
            <w:r>
              <w:rPr>
                <w:bCs/>
                <w:color w:val="000000"/>
                <w:sz w:val="24"/>
                <w:szCs w:val="24"/>
              </w:rPr>
              <w:t>я  шляхом організації надання медичної допомоги із залученням лікарів-інтернів</w:t>
            </w:r>
          </w:p>
        </w:tc>
        <w:tc>
          <w:tcPr>
            <w:tcW w:w="1559" w:type="dxa"/>
          </w:tcPr>
          <w:p w:rsidR="00B146D1" w:rsidRDefault="00B146D1" w:rsidP="008605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Default="00B146D1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64,2</w:t>
            </w:r>
          </w:p>
        </w:tc>
      </w:tr>
      <w:tr w:rsidR="00B146D1" w:rsidRPr="003E51BA" w:rsidTr="00355003">
        <w:trPr>
          <w:trHeight w:val="340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Default="00B146D1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55003" w:rsidRDefault="00355003" w:rsidP="00FD128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55003">
              <w:rPr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559" w:type="dxa"/>
          </w:tcPr>
          <w:p w:rsidR="00B146D1" w:rsidRPr="00355003" w:rsidRDefault="00230DAD" w:rsidP="008605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5003">
              <w:rPr>
                <w:b/>
                <w:bCs/>
                <w:color w:val="000000"/>
                <w:sz w:val="24"/>
                <w:szCs w:val="24"/>
              </w:rPr>
              <w:t>89 637,8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B146D1" w:rsidRPr="00355003" w:rsidRDefault="00F51D3C" w:rsidP="00052D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105 159,1</w:t>
            </w:r>
          </w:p>
        </w:tc>
      </w:tr>
    </w:tbl>
    <w:p w:rsidR="00041FED" w:rsidRDefault="00041FED" w:rsidP="00E840BB">
      <w:pPr>
        <w:jc w:val="both"/>
        <w:rPr>
          <w:b/>
          <w:color w:val="000000"/>
          <w:sz w:val="24"/>
          <w:szCs w:val="24"/>
        </w:rPr>
      </w:pPr>
    </w:p>
    <w:p w:rsidR="0054169E" w:rsidRDefault="004155D3" w:rsidP="00052D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Видатки підприємства </w:t>
      </w:r>
      <w:r w:rsidR="007F1589">
        <w:rPr>
          <w:color w:val="000000"/>
          <w:sz w:val="24"/>
          <w:szCs w:val="24"/>
        </w:rPr>
        <w:t xml:space="preserve">у 2022 році </w:t>
      </w:r>
      <w:r w:rsidR="004211C1">
        <w:rPr>
          <w:color w:val="000000"/>
          <w:sz w:val="24"/>
          <w:szCs w:val="24"/>
        </w:rPr>
        <w:t>зросли на 25,3 %</w:t>
      </w:r>
      <w:r w:rsidR="007F1589">
        <w:rPr>
          <w:color w:val="000000"/>
          <w:sz w:val="24"/>
          <w:szCs w:val="24"/>
        </w:rPr>
        <w:t xml:space="preserve"> порівняно з попереднім роком.</w:t>
      </w:r>
    </w:p>
    <w:p w:rsidR="00DF07C5" w:rsidRDefault="00DF07C5" w:rsidP="00052D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369"/>
        <w:gridCol w:w="1842"/>
        <w:gridCol w:w="1985"/>
        <w:gridCol w:w="1559"/>
        <w:gridCol w:w="1667"/>
      </w:tblGrid>
      <w:tr w:rsidR="007E4EBB" w:rsidTr="003A0A05">
        <w:tc>
          <w:tcPr>
            <w:tcW w:w="3369" w:type="dxa"/>
            <w:vMerge w:val="restart"/>
          </w:tcPr>
          <w:p w:rsidR="007E4EBB" w:rsidRPr="00FB19A4" w:rsidRDefault="007E4EBB" w:rsidP="007E4EBB">
            <w:pPr>
              <w:jc w:val="both"/>
              <w:rPr>
                <w:color w:val="000000"/>
                <w:sz w:val="24"/>
                <w:szCs w:val="24"/>
              </w:rPr>
            </w:pPr>
            <w:r w:rsidRPr="00FB19A4">
              <w:rPr>
                <w:color w:val="000000"/>
                <w:sz w:val="24"/>
                <w:szCs w:val="24"/>
              </w:rPr>
              <w:t>Статті видатків</w:t>
            </w:r>
          </w:p>
        </w:tc>
        <w:tc>
          <w:tcPr>
            <w:tcW w:w="3827" w:type="dxa"/>
            <w:gridSpan w:val="2"/>
          </w:tcPr>
          <w:p w:rsidR="007E4EBB" w:rsidRPr="00FB19A4" w:rsidRDefault="007E4EBB" w:rsidP="002A49E3">
            <w:pPr>
              <w:jc w:val="center"/>
              <w:rPr>
                <w:color w:val="000000"/>
                <w:sz w:val="24"/>
                <w:szCs w:val="24"/>
              </w:rPr>
            </w:pPr>
            <w:r w:rsidRPr="00FB19A4">
              <w:rPr>
                <w:color w:val="000000"/>
                <w:sz w:val="24"/>
                <w:szCs w:val="24"/>
              </w:rPr>
              <w:t>Видатки, тис. грн</w:t>
            </w:r>
          </w:p>
        </w:tc>
        <w:tc>
          <w:tcPr>
            <w:tcW w:w="3226" w:type="dxa"/>
            <w:gridSpan w:val="2"/>
          </w:tcPr>
          <w:p w:rsidR="007E4EBB" w:rsidRPr="00FB19A4" w:rsidRDefault="007E4EBB" w:rsidP="002A49E3">
            <w:pPr>
              <w:jc w:val="center"/>
              <w:rPr>
                <w:color w:val="000000"/>
                <w:sz w:val="24"/>
                <w:szCs w:val="24"/>
              </w:rPr>
            </w:pPr>
            <w:r w:rsidRPr="00FB19A4">
              <w:rPr>
                <w:color w:val="000000"/>
                <w:sz w:val="24"/>
                <w:szCs w:val="24"/>
              </w:rPr>
              <w:t>Питома вага, %</w:t>
            </w:r>
          </w:p>
        </w:tc>
      </w:tr>
      <w:tr w:rsidR="007E4EBB" w:rsidTr="003A0A05">
        <w:tc>
          <w:tcPr>
            <w:tcW w:w="3369" w:type="dxa"/>
            <w:vMerge/>
          </w:tcPr>
          <w:p w:rsidR="007E4EBB" w:rsidRPr="002A49E3" w:rsidRDefault="007E4EBB" w:rsidP="00052D0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4EBB" w:rsidRDefault="007E4EBB" w:rsidP="0039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39579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985" w:type="dxa"/>
          </w:tcPr>
          <w:p w:rsidR="007E4EBB" w:rsidRDefault="007E4EBB" w:rsidP="0039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39579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559" w:type="dxa"/>
          </w:tcPr>
          <w:p w:rsidR="007E4EBB" w:rsidRDefault="007E4EBB" w:rsidP="0039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39579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667" w:type="dxa"/>
          </w:tcPr>
          <w:p w:rsidR="007E4EBB" w:rsidRDefault="007E4EBB" w:rsidP="0039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39579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рік</w:t>
            </w:r>
          </w:p>
        </w:tc>
      </w:tr>
      <w:tr w:rsidR="008E0D8F" w:rsidTr="003A0A05">
        <w:tc>
          <w:tcPr>
            <w:tcW w:w="3369" w:type="dxa"/>
          </w:tcPr>
          <w:p w:rsidR="008E0D8F" w:rsidRDefault="007E4EBB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праці (з ЄСВ)</w:t>
            </w:r>
          </w:p>
        </w:tc>
        <w:tc>
          <w:tcPr>
            <w:tcW w:w="1842" w:type="dxa"/>
          </w:tcPr>
          <w:p w:rsidR="008E0D8F" w:rsidRDefault="0039579A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71 435,7</w:t>
            </w:r>
          </w:p>
        </w:tc>
        <w:tc>
          <w:tcPr>
            <w:tcW w:w="1985" w:type="dxa"/>
          </w:tcPr>
          <w:p w:rsidR="008E0D8F" w:rsidRDefault="009B063F" w:rsidP="00D71C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  <w:r w:rsidR="00D71C45">
              <w:rPr>
                <w:color w:val="000000"/>
                <w:sz w:val="24"/>
                <w:szCs w:val="24"/>
              </w:rPr>
              <w:t> 006,5</w:t>
            </w:r>
          </w:p>
        </w:tc>
        <w:tc>
          <w:tcPr>
            <w:tcW w:w="1559" w:type="dxa"/>
          </w:tcPr>
          <w:p w:rsidR="008E0D8F" w:rsidRDefault="0039579A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667" w:type="dxa"/>
          </w:tcPr>
          <w:p w:rsidR="008E0D8F" w:rsidRDefault="000433FE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8E0D8F" w:rsidTr="003A0A05">
        <w:tc>
          <w:tcPr>
            <w:tcW w:w="3369" w:type="dxa"/>
          </w:tcPr>
          <w:p w:rsidR="008E0D8F" w:rsidRDefault="007E4EBB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Медикаменти та перев’язувальні матеріали</w:t>
            </w:r>
          </w:p>
        </w:tc>
        <w:tc>
          <w:tcPr>
            <w:tcW w:w="1842" w:type="dxa"/>
          </w:tcPr>
          <w:p w:rsidR="008E0D8F" w:rsidRDefault="0039579A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14 331,6</w:t>
            </w:r>
          </w:p>
        </w:tc>
        <w:tc>
          <w:tcPr>
            <w:tcW w:w="1985" w:type="dxa"/>
          </w:tcPr>
          <w:p w:rsidR="008E0D8F" w:rsidRDefault="00D71C45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12 453,4</w:t>
            </w:r>
          </w:p>
        </w:tc>
        <w:tc>
          <w:tcPr>
            <w:tcW w:w="1559" w:type="dxa"/>
          </w:tcPr>
          <w:p w:rsidR="008E0D8F" w:rsidRDefault="0039579A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667" w:type="dxa"/>
          </w:tcPr>
          <w:p w:rsidR="008E0D8F" w:rsidRDefault="000433FE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</w:tr>
      <w:tr w:rsidR="008E0D8F" w:rsidTr="003A0A05">
        <w:tc>
          <w:tcPr>
            <w:tcW w:w="3369" w:type="dxa"/>
          </w:tcPr>
          <w:p w:rsidR="008E0D8F" w:rsidRDefault="007E4EBB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Продукти харчування</w:t>
            </w:r>
          </w:p>
        </w:tc>
        <w:tc>
          <w:tcPr>
            <w:tcW w:w="1842" w:type="dxa"/>
          </w:tcPr>
          <w:p w:rsidR="008E0D8F" w:rsidRDefault="0039579A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1 142,6</w:t>
            </w:r>
          </w:p>
        </w:tc>
        <w:tc>
          <w:tcPr>
            <w:tcW w:w="1985" w:type="dxa"/>
          </w:tcPr>
          <w:p w:rsidR="008E0D8F" w:rsidRDefault="00D71C45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1 292,9</w:t>
            </w:r>
          </w:p>
        </w:tc>
        <w:tc>
          <w:tcPr>
            <w:tcW w:w="1559" w:type="dxa"/>
          </w:tcPr>
          <w:p w:rsidR="008E0D8F" w:rsidRDefault="00B11674" w:rsidP="003957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3957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E0D8F" w:rsidRDefault="000433FE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D3D59" w:rsidTr="003A0A05">
        <w:tc>
          <w:tcPr>
            <w:tcW w:w="3369" w:type="dxa"/>
          </w:tcPr>
          <w:p w:rsidR="00DD3D59" w:rsidRDefault="00DD3D59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Комунальні послуги та енергоносії</w:t>
            </w:r>
          </w:p>
        </w:tc>
        <w:tc>
          <w:tcPr>
            <w:tcW w:w="1842" w:type="dxa"/>
          </w:tcPr>
          <w:p w:rsidR="00DD3D59" w:rsidRDefault="0039579A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5 695,9</w:t>
            </w:r>
          </w:p>
        </w:tc>
        <w:tc>
          <w:tcPr>
            <w:tcW w:w="1985" w:type="dxa"/>
          </w:tcPr>
          <w:p w:rsidR="00DD3D59" w:rsidRDefault="00151749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6 339,5</w:t>
            </w:r>
          </w:p>
        </w:tc>
        <w:tc>
          <w:tcPr>
            <w:tcW w:w="1559" w:type="dxa"/>
          </w:tcPr>
          <w:p w:rsidR="00DD3D59" w:rsidRDefault="0039579A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667" w:type="dxa"/>
          </w:tcPr>
          <w:p w:rsidR="00DD3D59" w:rsidRDefault="000433FE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4,6</w:t>
            </w:r>
          </w:p>
        </w:tc>
      </w:tr>
      <w:tr w:rsidR="008E0D8F" w:rsidTr="003A0A05">
        <w:tc>
          <w:tcPr>
            <w:tcW w:w="3369" w:type="dxa"/>
          </w:tcPr>
          <w:p w:rsidR="008E0D8F" w:rsidRDefault="003A0A05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Інші видатки</w:t>
            </w:r>
          </w:p>
        </w:tc>
        <w:tc>
          <w:tcPr>
            <w:tcW w:w="1842" w:type="dxa"/>
          </w:tcPr>
          <w:p w:rsidR="008E0D8F" w:rsidRDefault="009B063F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7 904,5</w:t>
            </w:r>
          </w:p>
        </w:tc>
        <w:tc>
          <w:tcPr>
            <w:tcW w:w="1985" w:type="dxa"/>
          </w:tcPr>
          <w:p w:rsidR="008E0D8F" w:rsidRDefault="000433FE" w:rsidP="001517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151749">
              <w:rPr>
                <w:color w:val="000000"/>
                <w:sz w:val="24"/>
                <w:szCs w:val="24"/>
              </w:rPr>
              <w:t> 097,2</w:t>
            </w:r>
          </w:p>
        </w:tc>
        <w:tc>
          <w:tcPr>
            <w:tcW w:w="1559" w:type="dxa"/>
          </w:tcPr>
          <w:p w:rsidR="008E0D8F" w:rsidRDefault="00346096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667" w:type="dxa"/>
          </w:tcPr>
          <w:p w:rsidR="008E0D8F" w:rsidRDefault="004413C0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8,3</w:t>
            </w:r>
          </w:p>
        </w:tc>
      </w:tr>
      <w:tr w:rsidR="008E0D8F" w:rsidTr="003A0A05">
        <w:tc>
          <w:tcPr>
            <w:tcW w:w="3369" w:type="dxa"/>
          </w:tcPr>
          <w:p w:rsidR="008E0D8F" w:rsidRDefault="003A0A05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1842" w:type="dxa"/>
          </w:tcPr>
          <w:p w:rsidR="008E0D8F" w:rsidRDefault="009B063F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7 530,1</w:t>
            </w:r>
          </w:p>
        </w:tc>
        <w:tc>
          <w:tcPr>
            <w:tcW w:w="1985" w:type="dxa"/>
          </w:tcPr>
          <w:p w:rsidR="008E0D8F" w:rsidRDefault="00151749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433FE">
              <w:rPr>
                <w:color w:val="000000"/>
                <w:sz w:val="24"/>
                <w:szCs w:val="24"/>
              </w:rPr>
              <w:t>8 181,9</w:t>
            </w:r>
          </w:p>
        </w:tc>
        <w:tc>
          <w:tcPr>
            <w:tcW w:w="1559" w:type="dxa"/>
          </w:tcPr>
          <w:p w:rsidR="008E0D8F" w:rsidRDefault="00346096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667" w:type="dxa"/>
          </w:tcPr>
          <w:p w:rsidR="008E0D8F" w:rsidRDefault="004413C0" w:rsidP="004413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E0D8F" w:rsidTr="003A0A05">
        <w:tc>
          <w:tcPr>
            <w:tcW w:w="3369" w:type="dxa"/>
          </w:tcPr>
          <w:p w:rsidR="008E0D8F" w:rsidRPr="00346096" w:rsidRDefault="00346096" w:rsidP="00052D0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46096">
              <w:rPr>
                <w:b/>
                <w:color w:val="000000"/>
                <w:sz w:val="24"/>
                <w:szCs w:val="24"/>
              </w:rPr>
              <w:t>Разом:</w:t>
            </w:r>
          </w:p>
        </w:tc>
        <w:tc>
          <w:tcPr>
            <w:tcW w:w="1842" w:type="dxa"/>
          </w:tcPr>
          <w:p w:rsidR="008E0D8F" w:rsidRPr="00346096" w:rsidRDefault="009B063F" w:rsidP="00B116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108 040,4</w:t>
            </w:r>
          </w:p>
        </w:tc>
        <w:tc>
          <w:tcPr>
            <w:tcW w:w="1985" w:type="dxa"/>
          </w:tcPr>
          <w:p w:rsidR="008E0D8F" w:rsidRPr="00346096" w:rsidRDefault="00424424" w:rsidP="00BF35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135 370,9</w:t>
            </w:r>
          </w:p>
        </w:tc>
        <w:tc>
          <w:tcPr>
            <w:tcW w:w="1559" w:type="dxa"/>
          </w:tcPr>
          <w:p w:rsidR="008E0D8F" w:rsidRPr="00346096" w:rsidRDefault="004413C0" w:rsidP="00052D0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67" w:type="dxa"/>
          </w:tcPr>
          <w:p w:rsidR="008E0D8F" w:rsidRPr="00346096" w:rsidRDefault="008E0D8F" w:rsidP="00052D0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E51BA" w:rsidRDefault="003E51BA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A3366" w:rsidRDefault="0054169E" w:rsidP="005756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="0005051C">
        <w:rPr>
          <w:color w:val="000000"/>
          <w:sz w:val="24"/>
          <w:szCs w:val="24"/>
        </w:rPr>
        <w:t xml:space="preserve">Суттєве підвищення заробітної плати медичних працівників до гарантованого рівня для лікарів </w:t>
      </w:r>
      <w:r w:rsidR="00575651">
        <w:rPr>
          <w:color w:val="000000"/>
          <w:sz w:val="24"/>
          <w:szCs w:val="24"/>
        </w:rPr>
        <w:t xml:space="preserve">20,0 тис.грн, </w:t>
      </w:r>
      <w:r w:rsidR="00BD0046">
        <w:rPr>
          <w:color w:val="000000"/>
          <w:sz w:val="24"/>
          <w:szCs w:val="24"/>
        </w:rPr>
        <w:t xml:space="preserve">середнього медичного персоналу - </w:t>
      </w:r>
      <w:r w:rsidR="00575651">
        <w:rPr>
          <w:color w:val="000000"/>
          <w:sz w:val="24"/>
          <w:szCs w:val="24"/>
        </w:rPr>
        <w:t>13,5 тис.грн зумовило збільшення витрат на о</w:t>
      </w:r>
      <w:r w:rsidR="002949B3">
        <w:rPr>
          <w:color w:val="000000"/>
          <w:sz w:val="24"/>
          <w:szCs w:val="24"/>
        </w:rPr>
        <w:t>плату прац</w:t>
      </w:r>
      <w:r w:rsidR="0006695D">
        <w:rPr>
          <w:color w:val="000000"/>
          <w:sz w:val="24"/>
          <w:szCs w:val="24"/>
        </w:rPr>
        <w:t xml:space="preserve">і на 24 570,8 тис.грн </w:t>
      </w:r>
      <w:r w:rsidR="002949B3">
        <w:rPr>
          <w:color w:val="000000"/>
          <w:sz w:val="24"/>
          <w:szCs w:val="24"/>
        </w:rPr>
        <w:t xml:space="preserve"> порівняно з попереднім звітним періодом.</w:t>
      </w:r>
      <w:r w:rsidR="00575651">
        <w:rPr>
          <w:color w:val="000000"/>
          <w:sz w:val="24"/>
          <w:szCs w:val="24"/>
        </w:rPr>
        <w:t xml:space="preserve"> Відповідно, </w:t>
      </w:r>
      <w:r w:rsidR="00B7554C">
        <w:rPr>
          <w:color w:val="000000"/>
          <w:sz w:val="24"/>
          <w:szCs w:val="24"/>
        </w:rPr>
        <w:t xml:space="preserve">середньомісячна заробітна плата </w:t>
      </w:r>
      <w:r w:rsidR="005A3366">
        <w:rPr>
          <w:color w:val="000000"/>
          <w:sz w:val="24"/>
          <w:szCs w:val="24"/>
        </w:rPr>
        <w:t xml:space="preserve">по закладу </w:t>
      </w:r>
      <w:r w:rsidR="0006695D">
        <w:rPr>
          <w:color w:val="000000"/>
          <w:sz w:val="24"/>
          <w:szCs w:val="24"/>
        </w:rPr>
        <w:t>зросла</w:t>
      </w:r>
      <w:r w:rsidR="00B7554C">
        <w:rPr>
          <w:color w:val="000000"/>
          <w:sz w:val="24"/>
          <w:szCs w:val="24"/>
        </w:rPr>
        <w:t xml:space="preserve"> на </w:t>
      </w:r>
      <w:r w:rsidR="0006695D">
        <w:rPr>
          <w:color w:val="000000"/>
          <w:sz w:val="24"/>
          <w:szCs w:val="24"/>
        </w:rPr>
        <w:t>46,6 %,</w:t>
      </w:r>
    </w:p>
    <w:p w:rsidR="0006695D" w:rsidRPr="0006695D" w:rsidRDefault="0006695D" w:rsidP="005756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тому числі:</w:t>
      </w:r>
    </w:p>
    <w:p w:rsidR="00774EC7" w:rsidRPr="0006695D" w:rsidRDefault="0006695D" w:rsidP="0006695D">
      <w:pPr>
        <w:pStyle w:val="a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</w:t>
      </w:r>
      <w:r w:rsidR="009A0BC1" w:rsidRPr="0006695D">
        <w:rPr>
          <w:color w:val="000000"/>
          <w:sz w:val="24"/>
          <w:szCs w:val="24"/>
          <w:lang w:val="ru-RU"/>
        </w:rPr>
        <w:t>ікарі – 61,6 % росту до рівня 2021 року</w:t>
      </w:r>
    </w:p>
    <w:p w:rsidR="00774EC7" w:rsidRDefault="00774EC7" w:rsidP="005756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2021 рік – 12 509,16 грн;</w:t>
      </w:r>
    </w:p>
    <w:p w:rsidR="00774EC7" w:rsidRDefault="00774EC7" w:rsidP="005756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2022 рік – 20 214,99 грн</w:t>
      </w:r>
    </w:p>
    <w:p w:rsidR="00774EC7" w:rsidRPr="0006695D" w:rsidRDefault="0006695D" w:rsidP="0006695D">
      <w:pPr>
        <w:pStyle w:val="a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9A0BC1" w:rsidRPr="0006695D">
        <w:rPr>
          <w:color w:val="000000"/>
          <w:sz w:val="24"/>
          <w:szCs w:val="24"/>
        </w:rPr>
        <w:t>ередній медичний персонал – 49 % росту до рівня 2021 року</w:t>
      </w:r>
    </w:p>
    <w:p w:rsidR="00774EC7" w:rsidRDefault="00774EC7" w:rsidP="005756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2021 рік </w:t>
      </w:r>
      <w:r w:rsidR="004225F4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4225F4">
        <w:rPr>
          <w:color w:val="000000"/>
          <w:sz w:val="24"/>
          <w:szCs w:val="24"/>
        </w:rPr>
        <w:t>9 757,92 грн;</w:t>
      </w:r>
    </w:p>
    <w:p w:rsidR="004225F4" w:rsidRDefault="004225F4" w:rsidP="005756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2022 рік – 14 530,54 грн.</w:t>
      </w:r>
    </w:p>
    <w:p w:rsidR="00B438CC" w:rsidRDefault="00B438CC" w:rsidP="00B438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Витрати на медикаменти та вироби медичного призначення у 2022 році становили 2 008,80 грн з розрахунку на 1 пролікованого пацієнта, на харчування пацієнта – 275,60 грн.</w:t>
      </w:r>
    </w:p>
    <w:p w:rsidR="00B15D6F" w:rsidRDefault="00B438CC" w:rsidP="00D43E1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="00B15D6F">
        <w:rPr>
          <w:color w:val="000000"/>
          <w:sz w:val="24"/>
          <w:szCs w:val="24"/>
        </w:rPr>
        <w:t>Позитивні тенденції року:</w:t>
      </w:r>
    </w:p>
    <w:p w:rsidR="00AD598B" w:rsidRPr="00D43E1E" w:rsidRDefault="00AD598B" w:rsidP="00D43E1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оновлено матеріально-технічну базу підприємства </w:t>
      </w:r>
      <w:r w:rsidR="00956F94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956F94">
        <w:rPr>
          <w:color w:val="000000"/>
          <w:sz w:val="24"/>
          <w:szCs w:val="24"/>
        </w:rPr>
        <w:t>3 084,8 тис.грн;</w:t>
      </w:r>
    </w:p>
    <w:p w:rsidR="00B15D6F" w:rsidRDefault="00B15D6F" w:rsidP="005A3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</w:t>
      </w:r>
      <w:r w:rsidR="006011F6">
        <w:rPr>
          <w:color w:val="000000"/>
          <w:sz w:val="24"/>
          <w:szCs w:val="24"/>
        </w:rPr>
        <w:t>дійснено поточний ремонт покрівлі г</w:t>
      </w:r>
      <w:r>
        <w:rPr>
          <w:color w:val="000000"/>
          <w:sz w:val="24"/>
          <w:szCs w:val="24"/>
        </w:rPr>
        <w:t>оловного корпусу – 75,6 тис.грн;</w:t>
      </w:r>
    </w:p>
    <w:p w:rsidR="00B15D6F" w:rsidRDefault="00B15D6F" w:rsidP="005A3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6011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6011F6">
        <w:rPr>
          <w:color w:val="000000"/>
          <w:sz w:val="24"/>
          <w:szCs w:val="24"/>
        </w:rPr>
        <w:t xml:space="preserve">лаштовано зону очікування для пацієнтів </w:t>
      </w:r>
      <w:r>
        <w:rPr>
          <w:color w:val="000000"/>
          <w:sz w:val="24"/>
          <w:szCs w:val="24"/>
        </w:rPr>
        <w:t>з дітьми у жіночій консультації;</w:t>
      </w:r>
    </w:p>
    <w:p w:rsidR="00B15D6F" w:rsidRDefault="00B15D6F" w:rsidP="005A3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6011F6">
        <w:rPr>
          <w:color w:val="000000"/>
          <w:sz w:val="24"/>
          <w:szCs w:val="24"/>
        </w:rPr>
        <w:t xml:space="preserve"> додатково створено чот</w:t>
      </w:r>
      <w:r>
        <w:rPr>
          <w:color w:val="000000"/>
          <w:sz w:val="24"/>
          <w:szCs w:val="24"/>
        </w:rPr>
        <w:t>ири палати підвищеного комфорту;</w:t>
      </w:r>
    </w:p>
    <w:p w:rsidR="00A5064E" w:rsidRDefault="00B15D6F" w:rsidP="005A3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оновлено стіни відділення інтенсивної терапії новонаро</w:t>
      </w:r>
      <w:r w:rsidR="00B438CC">
        <w:rPr>
          <w:color w:val="000000"/>
          <w:sz w:val="24"/>
          <w:szCs w:val="24"/>
        </w:rPr>
        <w:t>джених барвистими</w:t>
      </w:r>
      <w:r>
        <w:rPr>
          <w:color w:val="000000"/>
          <w:sz w:val="24"/>
          <w:szCs w:val="24"/>
        </w:rPr>
        <w:t xml:space="preserve"> ілюстраціями з метою створення затишної атмосфери для немовлят та їх батьків</w:t>
      </w:r>
      <w:r w:rsidR="00A5064E">
        <w:rPr>
          <w:color w:val="000000"/>
          <w:sz w:val="24"/>
          <w:szCs w:val="24"/>
        </w:rPr>
        <w:t>;</w:t>
      </w:r>
    </w:p>
    <w:p w:rsidR="00B15D6F" w:rsidRDefault="00A5064E" w:rsidP="005A3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B438CC">
        <w:rPr>
          <w:color w:val="000000"/>
          <w:sz w:val="24"/>
          <w:szCs w:val="24"/>
        </w:rPr>
        <w:t xml:space="preserve">на базі підприємства </w:t>
      </w:r>
      <w:r>
        <w:rPr>
          <w:color w:val="000000"/>
          <w:sz w:val="24"/>
          <w:szCs w:val="24"/>
        </w:rPr>
        <w:t>впроваджено комплексну послугу для</w:t>
      </w:r>
      <w:r w:rsidR="00C10456">
        <w:rPr>
          <w:color w:val="000000"/>
          <w:sz w:val="24"/>
          <w:szCs w:val="24"/>
        </w:rPr>
        <w:t xml:space="preserve"> батьків новонароджених «єМалятко» - електронне свідоцтво про народження;</w:t>
      </w:r>
      <w:r w:rsidR="00B15D6F">
        <w:rPr>
          <w:color w:val="000000"/>
          <w:sz w:val="24"/>
          <w:szCs w:val="24"/>
        </w:rPr>
        <w:t xml:space="preserve"> </w:t>
      </w:r>
    </w:p>
    <w:p w:rsidR="00D43E1E" w:rsidRDefault="00B15D6F" w:rsidP="005A3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</w:t>
      </w:r>
      <w:r w:rsidR="00D43E1E">
        <w:rPr>
          <w:color w:val="000000"/>
          <w:sz w:val="24"/>
          <w:szCs w:val="24"/>
        </w:rPr>
        <w:t>роблено перший крок до створення сучасної зони рецепції</w:t>
      </w:r>
      <w:r>
        <w:rPr>
          <w:color w:val="000000"/>
          <w:sz w:val="24"/>
          <w:szCs w:val="24"/>
        </w:rPr>
        <w:t xml:space="preserve"> відкритого типу</w:t>
      </w:r>
      <w:r w:rsidR="00D43E1E">
        <w:rPr>
          <w:color w:val="000000"/>
          <w:sz w:val="24"/>
          <w:szCs w:val="24"/>
        </w:rPr>
        <w:t xml:space="preserve"> – виготовлено дизайнерський проєкт  та про</w:t>
      </w:r>
      <w:r w:rsidR="00F51D3C">
        <w:rPr>
          <w:color w:val="000000"/>
          <w:sz w:val="24"/>
          <w:szCs w:val="24"/>
        </w:rPr>
        <w:t>є</w:t>
      </w:r>
      <w:r w:rsidR="00D43E1E">
        <w:rPr>
          <w:color w:val="000000"/>
          <w:sz w:val="24"/>
          <w:szCs w:val="24"/>
        </w:rPr>
        <w:t>ктно-коштори</w:t>
      </w:r>
      <w:r w:rsidR="00B438CC">
        <w:rPr>
          <w:color w:val="000000"/>
          <w:sz w:val="24"/>
          <w:szCs w:val="24"/>
        </w:rPr>
        <w:t>сну документацію.</w:t>
      </w:r>
    </w:p>
    <w:p w:rsidR="00AD598B" w:rsidRDefault="00B438CC" w:rsidP="00AD59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C10456">
        <w:rPr>
          <w:color w:val="000000"/>
          <w:sz w:val="24"/>
          <w:szCs w:val="24"/>
        </w:rPr>
        <w:t>Для</w:t>
      </w:r>
      <w:r w:rsidR="00AD598B">
        <w:rPr>
          <w:color w:val="000000"/>
          <w:sz w:val="24"/>
          <w:szCs w:val="24"/>
        </w:rPr>
        <w:t xml:space="preserve"> відділення інтенсивної терапії новонароджених коштами благодійних організацій та волонтерів</w:t>
      </w:r>
      <w:r w:rsidR="00C10456">
        <w:rPr>
          <w:color w:val="000000"/>
          <w:sz w:val="24"/>
          <w:szCs w:val="24"/>
        </w:rPr>
        <w:t xml:space="preserve"> придбано</w:t>
      </w:r>
      <w:r w:rsidR="00AD598B">
        <w:rPr>
          <w:color w:val="000000"/>
          <w:sz w:val="24"/>
          <w:szCs w:val="24"/>
        </w:rPr>
        <w:t xml:space="preserve"> :</w:t>
      </w:r>
    </w:p>
    <w:p w:rsidR="00AD598B" w:rsidRPr="00AC1532" w:rsidRDefault="00AD598B" w:rsidP="00AD598B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C1532">
        <w:rPr>
          <w:color w:val="000000"/>
          <w:sz w:val="24"/>
          <w:szCs w:val="24"/>
        </w:rPr>
        <w:t xml:space="preserve">апарат ШВЛ, </w:t>
      </w:r>
      <w:r>
        <w:rPr>
          <w:color w:val="000000"/>
          <w:sz w:val="24"/>
          <w:szCs w:val="24"/>
        </w:rPr>
        <w:t xml:space="preserve">дихальний реаніматор, </w:t>
      </w:r>
      <w:r w:rsidRPr="00AC1532">
        <w:rPr>
          <w:color w:val="000000"/>
          <w:sz w:val="24"/>
          <w:szCs w:val="24"/>
        </w:rPr>
        <w:t>переносна система обігріву немовлят,</w:t>
      </w:r>
      <w:r>
        <w:rPr>
          <w:color w:val="000000"/>
          <w:sz w:val="24"/>
          <w:szCs w:val="24"/>
        </w:rPr>
        <w:t xml:space="preserve"> пульсоксиметр,</w:t>
      </w:r>
      <w:r w:rsidRPr="00AC1532">
        <w:rPr>
          <w:color w:val="000000"/>
          <w:sz w:val="24"/>
          <w:szCs w:val="24"/>
        </w:rPr>
        <w:t xml:space="preserve"> портативний аспіраційний пристрій для невідкладних станів дихальних шляхів,</w:t>
      </w:r>
      <w:r>
        <w:rPr>
          <w:color w:val="000000"/>
          <w:sz w:val="24"/>
          <w:szCs w:val="24"/>
        </w:rPr>
        <w:t xml:space="preserve"> насоси інфузійні шприцеві (5 шт.),відсмоктувачі  електричні з антибактеріальним фільтром (7 шт.) – 607,7 тис.грн.</w:t>
      </w:r>
    </w:p>
    <w:p w:rsidR="00AD598B" w:rsidRDefault="00AD598B" w:rsidP="00AD59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Поповнено обладнанням акушерський та гінекологічний стаціонар:</w:t>
      </w:r>
    </w:p>
    <w:p w:rsidR="00AD598B" w:rsidRPr="008C1AE1" w:rsidRDefault="00AD598B" w:rsidP="00AD598B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стіл операційний, лампа операційна, ліжко для пологів, функціональні ліжка (24 шт.), апарати УЗД (3 шт.) – 994,7 тис.грн, електрокардіографи (5 шт.)  </w:t>
      </w:r>
    </w:p>
    <w:p w:rsidR="00AD598B" w:rsidRDefault="00AD598B" w:rsidP="00AD59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За підтримки міського бюджету розвитку придбано електрохірургічний апарат та дефібрилятор на загальну суму 280,4 тис.грн.</w:t>
      </w:r>
    </w:p>
    <w:p w:rsidR="00AD598B" w:rsidRDefault="00AD598B" w:rsidP="00AD598B">
      <w:pPr>
        <w:pStyle w:val="ad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Крім того, в централізованому порядку та у вигляді благодійної допомоги отримано</w:t>
      </w:r>
    </w:p>
    <w:p w:rsidR="00AD598B" w:rsidRDefault="00AD598B" w:rsidP="00AD59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D43E1E">
        <w:rPr>
          <w:color w:val="000000"/>
          <w:sz w:val="24"/>
          <w:szCs w:val="24"/>
        </w:rPr>
        <w:t xml:space="preserve">матеріальних цінностей на </w:t>
      </w:r>
      <w:r>
        <w:rPr>
          <w:color w:val="000000"/>
          <w:sz w:val="24"/>
          <w:szCs w:val="24"/>
        </w:rPr>
        <w:t xml:space="preserve">загальну </w:t>
      </w:r>
      <w:r w:rsidRPr="00D43E1E">
        <w:rPr>
          <w:color w:val="000000"/>
          <w:sz w:val="24"/>
          <w:szCs w:val="24"/>
        </w:rPr>
        <w:t>суму</w:t>
      </w:r>
      <w:r>
        <w:rPr>
          <w:color w:val="000000"/>
          <w:sz w:val="24"/>
          <w:szCs w:val="24"/>
        </w:rPr>
        <w:t xml:space="preserve"> 8 289,8</w:t>
      </w:r>
      <w:r w:rsidRPr="00D43E1E">
        <w:rPr>
          <w:color w:val="000000"/>
          <w:sz w:val="24"/>
          <w:szCs w:val="24"/>
        </w:rPr>
        <w:t xml:space="preserve"> тис.грн. Це і лікарські засоби, і медичні вироби, і витратні матеріали.</w:t>
      </w:r>
      <w:r>
        <w:rPr>
          <w:color w:val="000000"/>
          <w:sz w:val="24"/>
          <w:szCs w:val="24"/>
        </w:rPr>
        <w:t xml:space="preserve"> </w:t>
      </w:r>
    </w:p>
    <w:p w:rsidR="009C7729" w:rsidRDefault="00956F94" w:rsidP="005A3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="009C7729">
        <w:rPr>
          <w:color w:val="000000"/>
          <w:sz w:val="24"/>
          <w:szCs w:val="24"/>
        </w:rPr>
        <w:t>Війна внесла свої кор</w:t>
      </w:r>
      <w:r w:rsidR="00C535DD">
        <w:rPr>
          <w:color w:val="000000"/>
          <w:sz w:val="24"/>
          <w:szCs w:val="24"/>
        </w:rPr>
        <w:t xml:space="preserve">ективи в роботу </w:t>
      </w:r>
      <w:r w:rsidR="00523ECC">
        <w:rPr>
          <w:color w:val="000000"/>
          <w:sz w:val="24"/>
          <w:szCs w:val="24"/>
        </w:rPr>
        <w:t xml:space="preserve">перинатального </w:t>
      </w:r>
      <w:r w:rsidR="00C535DD">
        <w:rPr>
          <w:color w:val="000000"/>
          <w:sz w:val="24"/>
          <w:szCs w:val="24"/>
        </w:rPr>
        <w:t xml:space="preserve">центру. В </w:t>
      </w:r>
      <w:r w:rsidR="009C7729">
        <w:rPr>
          <w:color w:val="000000"/>
          <w:sz w:val="24"/>
          <w:szCs w:val="24"/>
        </w:rPr>
        <w:t>критичних умовах воєнного стану довелося приймати першочергов</w:t>
      </w:r>
      <w:r w:rsidR="00C535DD">
        <w:rPr>
          <w:color w:val="000000"/>
          <w:sz w:val="24"/>
          <w:szCs w:val="24"/>
        </w:rPr>
        <w:t>і</w:t>
      </w:r>
      <w:r w:rsidR="009C7729">
        <w:rPr>
          <w:color w:val="000000"/>
          <w:sz w:val="24"/>
          <w:szCs w:val="24"/>
        </w:rPr>
        <w:t xml:space="preserve"> рішення щодо забезпечення сталого функці</w:t>
      </w:r>
      <w:r>
        <w:rPr>
          <w:color w:val="000000"/>
          <w:sz w:val="24"/>
          <w:szCs w:val="24"/>
        </w:rPr>
        <w:t>онування закладу</w:t>
      </w:r>
      <w:r w:rsidR="00C535DD">
        <w:rPr>
          <w:color w:val="000000"/>
          <w:sz w:val="24"/>
          <w:szCs w:val="24"/>
        </w:rPr>
        <w:t>:</w:t>
      </w:r>
    </w:p>
    <w:p w:rsidR="00C535DD" w:rsidRDefault="00C535DD" w:rsidP="00C535DD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облаштування </w:t>
      </w:r>
      <w:r w:rsidR="00710267">
        <w:rPr>
          <w:color w:val="000000"/>
          <w:sz w:val="24"/>
          <w:szCs w:val="24"/>
        </w:rPr>
        <w:t>укриття</w:t>
      </w:r>
      <w:r>
        <w:rPr>
          <w:color w:val="000000"/>
          <w:sz w:val="24"/>
          <w:szCs w:val="24"/>
        </w:rPr>
        <w:t xml:space="preserve"> </w:t>
      </w:r>
      <w:r w:rsidR="00710267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підвальному приміщенні </w:t>
      </w:r>
      <w:r w:rsidR="00DE3E70">
        <w:rPr>
          <w:color w:val="000000"/>
          <w:sz w:val="24"/>
          <w:szCs w:val="24"/>
        </w:rPr>
        <w:t xml:space="preserve"> та забезпечення </w:t>
      </w:r>
      <w:r w:rsidR="00CE4A63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сім необхідним для надання медичної допомоги;</w:t>
      </w:r>
    </w:p>
    <w:p w:rsidR="00C535DD" w:rsidRPr="00C535DD" w:rsidRDefault="00C535DD" w:rsidP="00C535DD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забезпеч</w:t>
      </w:r>
      <w:r w:rsidR="00CE4A63">
        <w:rPr>
          <w:color w:val="000000"/>
          <w:sz w:val="24"/>
          <w:szCs w:val="24"/>
        </w:rPr>
        <w:t>ення енергетичної стабільності.</w:t>
      </w:r>
    </w:p>
    <w:p w:rsidR="00B7554C" w:rsidRDefault="00A57BF2" w:rsidP="00601D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C1532">
        <w:rPr>
          <w:color w:val="000000"/>
          <w:sz w:val="24"/>
          <w:szCs w:val="24"/>
        </w:rPr>
        <w:t xml:space="preserve">                   </w:t>
      </w:r>
      <w:r w:rsidR="00DD25BA">
        <w:rPr>
          <w:color w:val="000000"/>
          <w:sz w:val="24"/>
          <w:szCs w:val="24"/>
        </w:rPr>
        <w:t xml:space="preserve">В </w:t>
      </w:r>
      <w:r w:rsidR="00481703">
        <w:rPr>
          <w:color w:val="000000"/>
          <w:sz w:val="24"/>
          <w:szCs w:val="24"/>
        </w:rPr>
        <w:t xml:space="preserve">адаптованому під </w:t>
      </w:r>
      <w:r w:rsidR="00710267">
        <w:rPr>
          <w:color w:val="000000"/>
          <w:sz w:val="24"/>
          <w:szCs w:val="24"/>
        </w:rPr>
        <w:t>укриття</w:t>
      </w:r>
      <w:r w:rsidR="00481703">
        <w:rPr>
          <w:color w:val="000000"/>
          <w:sz w:val="24"/>
          <w:szCs w:val="24"/>
        </w:rPr>
        <w:t xml:space="preserve"> підвальному приміщенні облаштовано </w:t>
      </w:r>
      <w:r w:rsidR="00710267">
        <w:rPr>
          <w:color w:val="000000"/>
          <w:sz w:val="24"/>
          <w:szCs w:val="24"/>
        </w:rPr>
        <w:t xml:space="preserve">внутрішню </w:t>
      </w:r>
      <w:r w:rsidR="00481703">
        <w:rPr>
          <w:color w:val="000000"/>
          <w:sz w:val="24"/>
          <w:szCs w:val="24"/>
        </w:rPr>
        <w:t>інфраструктуру, щоб пацієнти і персонал були захищені.</w:t>
      </w:r>
      <w:r w:rsidR="00DD25BA">
        <w:rPr>
          <w:color w:val="000000"/>
          <w:sz w:val="24"/>
          <w:szCs w:val="24"/>
        </w:rPr>
        <w:t xml:space="preserve"> Розгорнуто операційну, пологову залу,</w:t>
      </w:r>
      <w:r w:rsidR="00710267">
        <w:rPr>
          <w:color w:val="000000"/>
          <w:sz w:val="24"/>
          <w:szCs w:val="24"/>
        </w:rPr>
        <w:t xml:space="preserve"> палату інтенсивної терапії, </w:t>
      </w:r>
      <w:r w:rsidR="00DD25BA">
        <w:rPr>
          <w:color w:val="000000"/>
          <w:sz w:val="24"/>
          <w:szCs w:val="24"/>
        </w:rPr>
        <w:t>палати стаціонарного перебування</w:t>
      </w:r>
      <w:r w:rsidR="00710267">
        <w:rPr>
          <w:color w:val="000000"/>
          <w:sz w:val="24"/>
          <w:szCs w:val="24"/>
        </w:rPr>
        <w:t>.</w:t>
      </w:r>
      <w:r w:rsidR="00DD25BA">
        <w:rPr>
          <w:color w:val="000000"/>
          <w:sz w:val="24"/>
          <w:szCs w:val="24"/>
        </w:rPr>
        <w:t xml:space="preserve"> </w:t>
      </w:r>
      <w:r w:rsidR="00B4782C">
        <w:rPr>
          <w:color w:val="000000"/>
          <w:sz w:val="24"/>
          <w:szCs w:val="24"/>
        </w:rPr>
        <w:t xml:space="preserve">Здійснено поточний ремонт у бомбосховищі, створено запас </w:t>
      </w:r>
      <w:r w:rsidR="002B1169">
        <w:rPr>
          <w:color w:val="000000"/>
          <w:sz w:val="24"/>
          <w:szCs w:val="24"/>
        </w:rPr>
        <w:t>питної води</w:t>
      </w:r>
      <w:r w:rsidR="00B4782C">
        <w:rPr>
          <w:color w:val="000000"/>
          <w:sz w:val="24"/>
          <w:szCs w:val="24"/>
        </w:rPr>
        <w:t xml:space="preserve">, проведено мережу Wi-fi, забезпечено цифровий зв'язок (придбано 3 радіостанції) та тепловий режим (встановлено </w:t>
      </w:r>
      <w:r w:rsidR="00CE4A63">
        <w:rPr>
          <w:color w:val="000000"/>
          <w:sz w:val="24"/>
          <w:szCs w:val="24"/>
        </w:rPr>
        <w:t xml:space="preserve">2 </w:t>
      </w:r>
      <w:r w:rsidR="002B1169">
        <w:rPr>
          <w:color w:val="000000"/>
          <w:sz w:val="24"/>
          <w:szCs w:val="24"/>
        </w:rPr>
        <w:t xml:space="preserve">теплові гармати) – </w:t>
      </w:r>
      <w:r w:rsidR="004211C1">
        <w:rPr>
          <w:color w:val="000000"/>
          <w:sz w:val="24"/>
          <w:szCs w:val="24"/>
        </w:rPr>
        <w:t xml:space="preserve">77,1 </w:t>
      </w:r>
      <w:r w:rsidR="002B1169">
        <w:rPr>
          <w:color w:val="000000"/>
          <w:sz w:val="24"/>
          <w:szCs w:val="24"/>
        </w:rPr>
        <w:t>тис.грн</w:t>
      </w:r>
    </w:p>
    <w:p w:rsidR="00CE4A63" w:rsidRPr="00B4782C" w:rsidRDefault="00CE4A63" w:rsidP="00601D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Перинатальний центр забезпечено резервним джерелом живлення. Зусиллями благодійного фонду «Волонтери Поділля»</w:t>
      </w:r>
      <w:r w:rsidR="002B1169">
        <w:rPr>
          <w:color w:val="000000"/>
          <w:sz w:val="24"/>
          <w:szCs w:val="24"/>
        </w:rPr>
        <w:t xml:space="preserve"> придбано дизель-генератор вартістю 907,3 тис.грн.</w:t>
      </w:r>
      <w:r>
        <w:rPr>
          <w:color w:val="000000"/>
          <w:sz w:val="24"/>
          <w:szCs w:val="24"/>
        </w:rPr>
        <w:t xml:space="preserve"> </w:t>
      </w:r>
      <w:r w:rsidR="002B1169">
        <w:rPr>
          <w:color w:val="000000"/>
          <w:sz w:val="24"/>
          <w:szCs w:val="24"/>
        </w:rPr>
        <w:t xml:space="preserve"> Здійснено улаштування піднавісу, п</w:t>
      </w:r>
      <w:r>
        <w:rPr>
          <w:color w:val="000000"/>
          <w:sz w:val="24"/>
          <w:szCs w:val="24"/>
        </w:rPr>
        <w:t>роведено технічне переоснащення мережевого та дизельного АВР для електропостачання</w:t>
      </w:r>
      <w:r w:rsidR="002B1169">
        <w:rPr>
          <w:color w:val="000000"/>
          <w:sz w:val="24"/>
          <w:szCs w:val="24"/>
        </w:rPr>
        <w:t xml:space="preserve"> щитових стаціонарних відділень та харчоблоку</w:t>
      </w:r>
      <w:r w:rsidR="00987DF9">
        <w:rPr>
          <w:color w:val="000000"/>
          <w:sz w:val="24"/>
          <w:szCs w:val="24"/>
        </w:rPr>
        <w:t>. Для фінансування цих робіт скеровано 299,3 тис.грн власних коштів підприємства.</w:t>
      </w:r>
      <w:r w:rsidR="004211C1">
        <w:rPr>
          <w:color w:val="000000"/>
          <w:sz w:val="24"/>
          <w:szCs w:val="24"/>
        </w:rPr>
        <w:t xml:space="preserve"> Придбано 2 965 л дизельного пального на суму 145,8 тис.грн для забезпечення безперебійної роботи дизель-генератора.</w:t>
      </w:r>
    </w:p>
    <w:p w:rsidR="00ED4056" w:rsidRPr="00956F94" w:rsidRDefault="00575651" w:rsidP="00F51D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D60032">
        <w:rPr>
          <w:color w:val="000000"/>
          <w:sz w:val="24"/>
          <w:szCs w:val="24"/>
        </w:rPr>
        <w:t>За підсумками діял</w:t>
      </w:r>
      <w:r w:rsidR="00ED4056">
        <w:rPr>
          <w:color w:val="000000"/>
          <w:sz w:val="24"/>
          <w:szCs w:val="24"/>
        </w:rPr>
        <w:t xml:space="preserve">ьності </w:t>
      </w:r>
      <w:r w:rsidR="00D60032">
        <w:rPr>
          <w:color w:val="000000"/>
          <w:sz w:val="24"/>
          <w:szCs w:val="24"/>
        </w:rPr>
        <w:t xml:space="preserve"> у 202</w:t>
      </w:r>
      <w:r>
        <w:rPr>
          <w:color w:val="000000"/>
          <w:sz w:val="24"/>
          <w:szCs w:val="24"/>
        </w:rPr>
        <w:t>2</w:t>
      </w:r>
      <w:r w:rsidR="00ED4056">
        <w:rPr>
          <w:color w:val="000000"/>
          <w:sz w:val="24"/>
          <w:szCs w:val="24"/>
        </w:rPr>
        <w:t xml:space="preserve"> році підприємство спрацювало з </w:t>
      </w:r>
      <w:r>
        <w:rPr>
          <w:color w:val="000000"/>
          <w:sz w:val="24"/>
          <w:szCs w:val="24"/>
        </w:rPr>
        <w:t>від</w:t>
      </w:r>
      <w:r w:rsidR="005054CA" w:rsidRPr="00956F94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 xml:space="preserve">ємним </w:t>
      </w:r>
      <w:r w:rsidR="00490A93">
        <w:rPr>
          <w:color w:val="000000"/>
          <w:sz w:val="24"/>
          <w:szCs w:val="24"/>
        </w:rPr>
        <w:t>фінансовим результатом (-</w:t>
      </w:r>
      <w:r w:rsidR="00F51D3C">
        <w:rPr>
          <w:color w:val="000000"/>
          <w:sz w:val="24"/>
          <w:szCs w:val="24"/>
        </w:rPr>
        <w:t>1 266</w:t>
      </w:r>
      <w:r w:rsidR="00956F94">
        <w:rPr>
          <w:color w:val="000000"/>
          <w:sz w:val="24"/>
          <w:szCs w:val="24"/>
        </w:rPr>
        <w:t xml:space="preserve">,3 тис.грн). </w:t>
      </w:r>
      <w:r w:rsidR="00490A93">
        <w:rPr>
          <w:color w:val="000000"/>
          <w:sz w:val="24"/>
          <w:szCs w:val="24"/>
        </w:rPr>
        <w:t>При цьому, перинатальний центр виконав всі поточні зобов’язання 2022 року.</w:t>
      </w:r>
    </w:p>
    <w:p w:rsidR="00221431" w:rsidRPr="00221431" w:rsidRDefault="00221431" w:rsidP="002214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24324" w:rsidRDefault="0022432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414D4" w:rsidRDefault="0022432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5414D4" w:rsidRDefault="005414D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414D4" w:rsidRDefault="005414D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414D4" w:rsidRDefault="005414D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B4208" w:rsidRPr="00956F94" w:rsidRDefault="004B4208" w:rsidP="00E840BB">
      <w:pPr>
        <w:jc w:val="both"/>
        <w:rPr>
          <w:color w:val="000000" w:themeColor="text1"/>
          <w:sz w:val="24"/>
          <w:szCs w:val="24"/>
        </w:rPr>
      </w:pPr>
    </w:p>
    <w:p w:rsidR="004B4208" w:rsidRPr="00956F94" w:rsidRDefault="004B4208" w:rsidP="00E840BB">
      <w:pPr>
        <w:jc w:val="both"/>
        <w:rPr>
          <w:color w:val="000000" w:themeColor="text1"/>
          <w:sz w:val="24"/>
          <w:szCs w:val="24"/>
        </w:rPr>
      </w:pPr>
    </w:p>
    <w:p w:rsidR="004B4208" w:rsidRPr="00956F94" w:rsidRDefault="004B4208" w:rsidP="00E840BB">
      <w:pPr>
        <w:jc w:val="both"/>
        <w:rPr>
          <w:color w:val="000000" w:themeColor="text1"/>
          <w:sz w:val="24"/>
          <w:szCs w:val="24"/>
        </w:rPr>
      </w:pPr>
    </w:p>
    <w:p w:rsidR="004B4208" w:rsidRPr="00956F94" w:rsidRDefault="004B4208" w:rsidP="00E840BB">
      <w:pPr>
        <w:jc w:val="both"/>
        <w:rPr>
          <w:color w:val="000000" w:themeColor="text1"/>
          <w:sz w:val="24"/>
          <w:szCs w:val="24"/>
        </w:rPr>
      </w:pPr>
    </w:p>
    <w:p w:rsidR="004B4208" w:rsidRPr="00956F94" w:rsidRDefault="004B4208" w:rsidP="00E840BB">
      <w:pPr>
        <w:jc w:val="both"/>
        <w:rPr>
          <w:color w:val="000000" w:themeColor="text1"/>
          <w:sz w:val="24"/>
          <w:szCs w:val="24"/>
        </w:rPr>
      </w:pPr>
    </w:p>
    <w:p w:rsidR="00C32901" w:rsidRPr="00E840BB" w:rsidRDefault="00C32901" w:rsidP="00E840BB">
      <w:pPr>
        <w:jc w:val="both"/>
        <w:rPr>
          <w:color w:val="000000" w:themeColor="text1"/>
          <w:sz w:val="24"/>
          <w:szCs w:val="24"/>
        </w:rPr>
      </w:pPr>
    </w:p>
    <w:p w:rsidR="00C32901" w:rsidRPr="00E840BB" w:rsidRDefault="00C32901" w:rsidP="00E840BB">
      <w:pPr>
        <w:jc w:val="both"/>
        <w:rPr>
          <w:color w:val="000000" w:themeColor="text1"/>
          <w:sz w:val="24"/>
          <w:szCs w:val="24"/>
        </w:rPr>
      </w:pPr>
    </w:p>
    <w:p w:rsidR="00C32901" w:rsidRPr="00E840BB" w:rsidRDefault="00C32901" w:rsidP="00E840BB">
      <w:pPr>
        <w:jc w:val="both"/>
        <w:rPr>
          <w:color w:val="000000" w:themeColor="text1"/>
          <w:sz w:val="24"/>
          <w:szCs w:val="24"/>
        </w:rPr>
      </w:pPr>
    </w:p>
    <w:p w:rsidR="00315F70" w:rsidRPr="00956F94" w:rsidRDefault="00B21E73" w:rsidP="00E840BB">
      <w:pPr>
        <w:jc w:val="both"/>
        <w:rPr>
          <w:color w:val="000000" w:themeColor="text1"/>
          <w:sz w:val="24"/>
          <w:szCs w:val="24"/>
        </w:rPr>
      </w:pPr>
      <w:r w:rsidRPr="00E840BB">
        <w:rPr>
          <w:color w:val="000000" w:themeColor="text1"/>
          <w:sz w:val="24"/>
          <w:szCs w:val="24"/>
        </w:rPr>
        <w:t xml:space="preserve"> </w:t>
      </w:r>
    </w:p>
    <w:p w:rsidR="004F0365" w:rsidRPr="00E840BB" w:rsidRDefault="004F0365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4F0365" w:rsidRPr="00E840BB" w:rsidSect="00E840BB">
      <w:pgSz w:w="11906" w:h="16838"/>
      <w:pgMar w:top="1134" w:right="849" w:bottom="1134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4C4" w:rsidRDefault="002214C4" w:rsidP="005F323F">
      <w:r>
        <w:separator/>
      </w:r>
    </w:p>
  </w:endnote>
  <w:endnote w:type="continuationSeparator" w:id="1">
    <w:p w:rsidR="002214C4" w:rsidRDefault="002214C4" w:rsidP="005F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4C4" w:rsidRDefault="002214C4" w:rsidP="005F323F">
      <w:r>
        <w:separator/>
      </w:r>
    </w:p>
  </w:footnote>
  <w:footnote w:type="continuationSeparator" w:id="1">
    <w:p w:rsidR="002214C4" w:rsidRDefault="002214C4" w:rsidP="005F3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624"/>
    <w:multiLevelType w:val="hybridMultilevel"/>
    <w:tmpl w:val="72C43296"/>
    <w:lvl w:ilvl="0" w:tplc="BA1428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6BF6"/>
    <w:multiLevelType w:val="hybridMultilevel"/>
    <w:tmpl w:val="3A0403A2"/>
    <w:lvl w:ilvl="0" w:tplc="DFDEEFF0">
      <w:start w:val="1"/>
      <w:numFmt w:val="bullet"/>
      <w:lvlText w:val=""/>
      <w:lvlJc w:val="left"/>
      <w:pPr>
        <w:ind w:left="185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>
    <w:nsid w:val="037A0E88"/>
    <w:multiLevelType w:val="hybridMultilevel"/>
    <w:tmpl w:val="4F329C34"/>
    <w:lvl w:ilvl="0" w:tplc="FB16F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31ADB"/>
    <w:multiLevelType w:val="hybridMultilevel"/>
    <w:tmpl w:val="DDD48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44707"/>
    <w:multiLevelType w:val="hybridMultilevel"/>
    <w:tmpl w:val="897A70FA"/>
    <w:lvl w:ilvl="0" w:tplc="24B24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7401F"/>
    <w:multiLevelType w:val="hybridMultilevel"/>
    <w:tmpl w:val="F6DC0B3A"/>
    <w:lvl w:ilvl="0" w:tplc="680861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A098B"/>
    <w:multiLevelType w:val="hybridMultilevel"/>
    <w:tmpl w:val="423C7096"/>
    <w:lvl w:ilvl="0" w:tplc="B96E5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D5AAE"/>
    <w:multiLevelType w:val="hybridMultilevel"/>
    <w:tmpl w:val="1D2694C0"/>
    <w:lvl w:ilvl="0" w:tplc="699E593E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15772"/>
    <w:multiLevelType w:val="hybridMultilevel"/>
    <w:tmpl w:val="E5466F4A"/>
    <w:lvl w:ilvl="0" w:tplc="49862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9596AF4"/>
    <w:multiLevelType w:val="hybridMultilevel"/>
    <w:tmpl w:val="49DE49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F04A0"/>
    <w:multiLevelType w:val="hybridMultilevel"/>
    <w:tmpl w:val="3AFC235A"/>
    <w:lvl w:ilvl="0" w:tplc="535EBC88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127D1"/>
    <w:multiLevelType w:val="hybridMultilevel"/>
    <w:tmpl w:val="73CC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B72C0"/>
    <w:multiLevelType w:val="hybridMultilevel"/>
    <w:tmpl w:val="1FAA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721DF"/>
    <w:multiLevelType w:val="hybridMultilevel"/>
    <w:tmpl w:val="44000D32"/>
    <w:lvl w:ilvl="0" w:tplc="25D491CC">
      <w:numFmt w:val="bullet"/>
      <w:lvlText w:val="-"/>
      <w:lvlJc w:val="left"/>
      <w:pPr>
        <w:ind w:left="149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C7C92"/>
    <w:multiLevelType w:val="hybridMultilevel"/>
    <w:tmpl w:val="E2B8607C"/>
    <w:lvl w:ilvl="0" w:tplc="28689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77DCD"/>
    <w:multiLevelType w:val="hybridMultilevel"/>
    <w:tmpl w:val="2FF2CE64"/>
    <w:lvl w:ilvl="0" w:tplc="04190005">
      <w:start w:val="1"/>
      <w:numFmt w:val="bullet"/>
      <w:lvlText w:val=""/>
      <w:lvlJc w:val="left"/>
      <w:pPr>
        <w:ind w:left="1496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A54F1"/>
    <w:multiLevelType w:val="hybridMultilevel"/>
    <w:tmpl w:val="4A76DE10"/>
    <w:lvl w:ilvl="0" w:tplc="179C0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82000"/>
    <w:multiLevelType w:val="hybridMultilevel"/>
    <w:tmpl w:val="1736C496"/>
    <w:lvl w:ilvl="0" w:tplc="2B28E8B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37763EE"/>
    <w:multiLevelType w:val="hybridMultilevel"/>
    <w:tmpl w:val="809429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96ADA"/>
    <w:multiLevelType w:val="hybridMultilevel"/>
    <w:tmpl w:val="40EE6738"/>
    <w:lvl w:ilvl="0" w:tplc="183AD694"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59CA1882">
      <w:start w:val="1"/>
      <w:numFmt w:val="decimal"/>
      <w:lvlText w:val="%2."/>
      <w:lvlJc w:val="left"/>
      <w:pPr>
        <w:tabs>
          <w:tab w:val="num" w:pos="4330"/>
        </w:tabs>
        <w:ind w:left="4330" w:hanging="360"/>
      </w:pPr>
      <w:rPr>
        <w:b w:val="0"/>
      </w:rPr>
    </w:lvl>
    <w:lvl w:ilvl="2" w:tplc="04220005">
      <w:start w:val="1"/>
      <w:numFmt w:val="decimal"/>
      <w:lvlText w:val="%3."/>
      <w:lvlJc w:val="left"/>
      <w:pPr>
        <w:tabs>
          <w:tab w:val="num" w:pos="5279"/>
        </w:tabs>
        <w:ind w:left="5279" w:hanging="360"/>
      </w:pPr>
    </w:lvl>
    <w:lvl w:ilvl="3" w:tplc="04220001">
      <w:start w:val="1"/>
      <w:numFmt w:val="decimal"/>
      <w:lvlText w:val="%4."/>
      <w:lvlJc w:val="left"/>
      <w:pPr>
        <w:tabs>
          <w:tab w:val="num" w:pos="5999"/>
        </w:tabs>
        <w:ind w:left="5999" w:hanging="360"/>
      </w:pPr>
    </w:lvl>
    <w:lvl w:ilvl="4" w:tplc="04220003">
      <w:start w:val="1"/>
      <w:numFmt w:val="decimal"/>
      <w:lvlText w:val="%5."/>
      <w:lvlJc w:val="left"/>
      <w:pPr>
        <w:tabs>
          <w:tab w:val="num" w:pos="6719"/>
        </w:tabs>
        <w:ind w:left="6719" w:hanging="360"/>
      </w:pPr>
    </w:lvl>
    <w:lvl w:ilvl="5" w:tplc="04220005">
      <w:start w:val="1"/>
      <w:numFmt w:val="decimal"/>
      <w:lvlText w:val="%6."/>
      <w:lvlJc w:val="left"/>
      <w:pPr>
        <w:tabs>
          <w:tab w:val="num" w:pos="7439"/>
        </w:tabs>
        <w:ind w:left="7439" w:hanging="360"/>
      </w:pPr>
    </w:lvl>
    <w:lvl w:ilvl="6" w:tplc="04220001">
      <w:start w:val="1"/>
      <w:numFmt w:val="decimal"/>
      <w:lvlText w:val="%7."/>
      <w:lvlJc w:val="left"/>
      <w:pPr>
        <w:tabs>
          <w:tab w:val="num" w:pos="8159"/>
        </w:tabs>
        <w:ind w:left="8159" w:hanging="360"/>
      </w:pPr>
    </w:lvl>
    <w:lvl w:ilvl="7" w:tplc="04220003">
      <w:start w:val="1"/>
      <w:numFmt w:val="decimal"/>
      <w:lvlText w:val="%8."/>
      <w:lvlJc w:val="left"/>
      <w:pPr>
        <w:tabs>
          <w:tab w:val="num" w:pos="8879"/>
        </w:tabs>
        <w:ind w:left="8879" w:hanging="360"/>
      </w:pPr>
    </w:lvl>
    <w:lvl w:ilvl="8" w:tplc="04220005">
      <w:start w:val="1"/>
      <w:numFmt w:val="decimal"/>
      <w:lvlText w:val="%9."/>
      <w:lvlJc w:val="left"/>
      <w:pPr>
        <w:tabs>
          <w:tab w:val="num" w:pos="9599"/>
        </w:tabs>
        <w:ind w:left="9599" w:hanging="360"/>
      </w:pPr>
    </w:lvl>
  </w:abstractNum>
  <w:abstractNum w:abstractNumId="20">
    <w:nsid w:val="48A36C43"/>
    <w:multiLevelType w:val="hybridMultilevel"/>
    <w:tmpl w:val="4F780BE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1">
    <w:nsid w:val="4CFF2416"/>
    <w:multiLevelType w:val="hybridMultilevel"/>
    <w:tmpl w:val="4AD88E20"/>
    <w:lvl w:ilvl="0" w:tplc="CB2003B4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223"/>
    <w:multiLevelType w:val="hybridMultilevel"/>
    <w:tmpl w:val="515CA86C"/>
    <w:lvl w:ilvl="0" w:tplc="91B8C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80256"/>
    <w:multiLevelType w:val="hybridMultilevel"/>
    <w:tmpl w:val="B89A64E6"/>
    <w:lvl w:ilvl="0" w:tplc="25D491CC">
      <w:numFmt w:val="bullet"/>
      <w:lvlText w:val="-"/>
      <w:lvlJc w:val="left"/>
      <w:pPr>
        <w:ind w:left="149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>
    <w:nsid w:val="521D793E"/>
    <w:multiLevelType w:val="hybridMultilevel"/>
    <w:tmpl w:val="9C3A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01EE2"/>
    <w:multiLevelType w:val="hybridMultilevel"/>
    <w:tmpl w:val="4F862962"/>
    <w:lvl w:ilvl="0" w:tplc="51F2265E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33B9C"/>
    <w:multiLevelType w:val="hybridMultilevel"/>
    <w:tmpl w:val="D752108E"/>
    <w:lvl w:ilvl="0" w:tplc="04190005">
      <w:start w:val="1"/>
      <w:numFmt w:val="bullet"/>
      <w:lvlText w:val=""/>
      <w:lvlJc w:val="left"/>
      <w:pPr>
        <w:ind w:left="1496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95196"/>
    <w:multiLevelType w:val="multilevel"/>
    <w:tmpl w:val="7C62328A"/>
    <w:lvl w:ilvl="0">
      <w:start w:val="1"/>
      <w:numFmt w:val="decimal"/>
      <w:lvlText w:val="%1."/>
      <w:lvlJc w:val="left"/>
      <w:pPr>
        <w:ind w:left="149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AF00F3E"/>
    <w:multiLevelType w:val="hybridMultilevel"/>
    <w:tmpl w:val="50A8B610"/>
    <w:lvl w:ilvl="0" w:tplc="3056B724">
      <w:start w:val="1"/>
      <w:numFmt w:val="bullet"/>
      <w:lvlText w:val=""/>
      <w:lvlJc w:val="left"/>
      <w:pPr>
        <w:ind w:left="185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3"/>
  </w:num>
  <w:num w:numId="4">
    <w:abstractNumId w:val="15"/>
  </w:num>
  <w:num w:numId="5">
    <w:abstractNumId w:val="26"/>
  </w:num>
  <w:num w:numId="6">
    <w:abstractNumId w:val="13"/>
  </w:num>
  <w:num w:numId="7">
    <w:abstractNumId w:val="1"/>
  </w:num>
  <w:num w:numId="8">
    <w:abstractNumId w:val="28"/>
  </w:num>
  <w:num w:numId="9">
    <w:abstractNumId w:val="17"/>
  </w:num>
  <w:num w:numId="10">
    <w:abstractNumId w:val="12"/>
  </w:num>
  <w:num w:numId="11">
    <w:abstractNumId w:val="11"/>
  </w:num>
  <w:num w:numId="12">
    <w:abstractNumId w:val="9"/>
  </w:num>
  <w:num w:numId="13">
    <w:abstractNumId w:val="3"/>
  </w:num>
  <w:num w:numId="14">
    <w:abstractNumId w:val="8"/>
  </w:num>
  <w:num w:numId="15">
    <w:abstractNumId w:val="14"/>
  </w:num>
  <w:num w:numId="16">
    <w:abstractNumId w:val="16"/>
  </w:num>
  <w:num w:numId="17">
    <w:abstractNumId w:val="22"/>
  </w:num>
  <w:num w:numId="18">
    <w:abstractNumId w:val="5"/>
  </w:num>
  <w:num w:numId="19">
    <w:abstractNumId w:val="6"/>
  </w:num>
  <w:num w:numId="20">
    <w:abstractNumId w:val="7"/>
  </w:num>
  <w:num w:numId="21">
    <w:abstractNumId w:val="21"/>
  </w:num>
  <w:num w:numId="22">
    <w:abstractNumId w:val="25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0"/>
  </w:num>
  <w:num w:numId="26">
    <w:abstractNumId w:val="0"/>
  </w:num>
  <w:num w:numId="27">
    <w:abstractNumId w:val="18"/>
  </w:num>
  <w:num w:numId="28">
    <w:abstractNumId w:val="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F70"/>
    <w:rsid w:val="000011C6"/>
    <w:rsid w:val="000022ED"/>
    <w:rsid w:val="00003A80"/>
    <w:rsid w:val="00005393"/>
    <w:rsid w:val="00005BA3"/>
    <w:rsid w:val="00010D56"/>
    <w:rsid w:val="00011D34"/>
    <w:rsid w:val="00017FAE"/>
    <w:rsid w:val="000204CC"/>
    <w:rsid w:val="0003242F"/>
    <w:rsid w:val="000406BF"/>
    <w:rsid w:val="00040815"/>
    <w:rsid w:val="00041FED"/>
    <w:rsid w:val="000425F6"/>
    <w:rsid w:val="000433FE"/>
    <w:rsid w:val="00043668"/>
    <w:rsid w:val="000468C4"/>
    <w:rsid w:val="00046CAD"/>
    <w:rsid w:val="00047B80"/>
    <w:rsid w:val="0005051C"/>
    <w:rsid w:val="00052D0F"/>
    <w:rsid w:val="00053091"/>
    <w:rsid w:val="0006695D"/>
    <w:rsid w:val="00071132"/>
    <w:rsid w:val="00071935"/>
    <w:rsid w:val="00072B45"/>
    <w:rsid w:val="00073192"/>
    <w:rsid w:val="00074EBC"/>
    <w:rsid w:val="000771BD"/>
    <w:rsid w:val="0008281E"/>
    <w:rsid w:val="000845F9"/>
    <w:rsid w:val="00091DC6"/>
    <w:rsid w:val="000930EF"/>
    <w:rsid w:val="00094766"/>
    <w:rsid w:val="000948C1"/>
    <w:rsid w:val="000A06CC"/>
    <w:rsid w:val="000A2A53"/>
    <w:rsid w:val="000B01A1"/>
    <w:rsid w:val="000B1A5D"/>
    <w:rsid w:val="000B3235"/>
    <w:rsid w:val="000B4BA5"/>
    <w:rsid w:val="000C1E38"/>
    <w:rsid w:val="000C4B52"/>
    <w:rsid w:val="000C7DCD"/>
    <w:rsid w:val="000D10AC"/>
    <w:rsid w:val="000D2137"/>
    <w:rsid w:val="000D3532"/>
    <w:rsid w:val="000E1040"/>
    <w:rsid w:val="000F03BA"/>
    <w:rsid w:val="000F15B4"/>
    <w:rsid w:val="000F42B2"/>
    <w:rsid w:val="001035C4"/>
    <w:rsid w:val="00103812"/>
    <w:rsid w:val="00103E65"/>
    <w:rsid w:val="001069AD"/>
    <w:rsid w:val="00107232"/>
    <w:rsid w:val="001074FB"/>
    <w:rsid w:val="0011438F"/>
    <w:rsid w:val="00116A34"/>
    <w:rsid w:val="00116B99"/>
    <w:rsid w:val="00117F07"/>
    <w:rsid w:val="00121794"/>
    <w:rsid w:val="00123C7A"/>
    <w:rsid w:val="00125BC6"/>
    <w:rsid w:val="00130710"/>
    <w:rsid w:val="00132B61"/>
    <w:rsid w:val="00140172"/>
    <w:rsid w:val="00145B33"/>
    <w:rsid w:val="00151710"/>
    <w:rsid w:val="00151749"/>
    <w:rsid w:val="00154212"/>
    <w:rsid w:val="00162B6C"/>
    <w:rsid w:val="00177664"/>
    <w:rsid w:val="00184655"/>
    <w:rsid w:val="0018706A"/>
    <w:rsid w:val="00190B39"/>
    <w:rsid w:val="001959C4"/>
    <w:rsid w:val="001A3E62"/>
    <w:rsid w:val="001A476F"/>
    <w:rsid w:val="001A6285"/>
    <w:rsid w:val="001A7A03"/>
    <w:rsid w:val="001B2589"/>
    <w:rsid w:val="001B39B9"/>
    <w:rsid w:val="001B40DC"/>
    <w:rsid w:val="001B4D15"/>
    <w:rsid w:val="001C1EA8"/>
    <w:rsid w:val="001C29FB"/>
    <w:rsid w:val="001C2D46"/>
    <w:rsid w:val="001C6A5B"/>
    <w:rsid w:val="001D1053"/>
    <w:rsid w:val="001D11CC"/>
    <w:rsid w:val="001D2E89"/>
    <w:rsid w:val="001D3023"/>
    <w:rsid w:val="001E5F5F"/>
    <w:rsid w:val="001E6DAE"/>
    <w:rsid w:val="001F1121"/>
    <w:rsid w:val="001F12DF"/>
    <w:rsid w:val="001F237D"/>
    <w:rsid w:val="001F2B51"/>
    <w:rsid w:val="001F2BEB"/>
    <w:rsid w:val="001F4025"/>
    <w:rsid w:val="001F4B6F"/>
    <w:rsid w:val="001F6776"/>
    <w:rsid w:val="001F78EF"/>
    <w:rsid w:val="0020165E"/>
    <w:rsid w:val="002017CC"/>
    <w:rsid w:val="00202819"/>
    <w:rsid w:val="00214234"/>
    <w:rsid w:val="0021534F"/>
    <w:rsid w:val="0021714C"/>
    <w:rsid w:val="00221431"/>
    <w:rsid w:val="002214C4"/>
    <w:rsid w:val="00223543"/>
    <w:rsid w:val="00224324"/>
    <w:rsid w:val="00230DAD"/>
    <w:rsid w:val="002317C7"/>
    <w:rsid w:val="002320A7"/>
    <w:rsid w:val="0023351C"/>
    <w:rsid w:val="0023386F"/>
    <w:rsid w:val="00235CC5"/>
    <w:rsid w:val="00236A01"/>
    <w:rsid w:val="002379D6"/>
    <w:rsid w:val="002475A6"/>
    <w:rsid w:val="00250475"/>
    <w:rsid w:val="00250854"/>
    <w:rsid w:val="00250CB0"/>
    <w:rsid w:val="00250D45"/>
    <w:rsid w:val="00252F6A"/>
    <w:rsid w:val="002608D4"/>
    <w:rsid w:val="002615B9"/>
    <w:rsid w:val="00262144"/>
    <w:rsid w:val="00272508"/>
    <w:rsid w:val="00273A00"/>
    <w:rsid w:val="00273E18"/>
    <w:rsid w:val="00285CD0"/>
    <w:rsid w:val="00287237"/>
    <w:rsid w:val="00290C6C"/>
    <w:rsid w:val="00291F49"/>
    <w:rsid w:val="002949B3"/>
    <w:rsid w:val="002A165B"/>
    <w:rsid w:val="002A27B0"/>
    <w:rsid w:val="002A49E3"/>
    <w:rsid w:val="002A62D4"/>
    <w:rsid w:val="002B1169"/>
    <w:rsid w:val="002B2CC7"/>
    <w:rsid w:val="002B74A4"/>
    <w:rsid w:val="002B7805"/>
    <w:rsid w:val="002C155E"/>
    <w:rsid w:val="002C2270"/>
    <w:rsid w:val="002C2530"/>
    <w:rsid w:val="002C468C"/>
    <w:rsid w:val="002D651D"/>
    <w:rsid w:val="002D7048"/>
    <w:rsid w:val="002D7932"/>
    <w:rsid w:val="002E0A09"/>
    <w:rsid w:val="002E1AD1"/>
    <w:rsid w:val="002E3E07"/>
    <w:rsid w:val="002E720B"/>
    <w:rsid w:val="002F1002"/>
    <w:rsid w:val="002F10AE"/>
    <w:rsid w:val="002F2C74"/>
    <w:rsid w:val="002F479F"/>
    <w:rsid w:val="002F570E"/>
    <w:rsid w:val="002F5803"/>
    <w:rsid w:val="00304A5B"/>
    <w:rsid w:val="00307F08"/>
    <w:rsid w:val="003117F6"/>
    <w:rsid w:val="00315F70"/>
    <w:rsid w:val="00317C5D"/>
    <w:rsid w:val="00320F10"/>
    <w:rsid w:val="00323B59"/>
    <w:rsid w:val="00325991"/>
    <w:rsid w:val="003273A3"/>
    <w:rsid w:val="00327978"/>
    <w:rsid w:val="00333D35"/>
    <w:rsid w:val="00341DB9"/>
    <w:rsid w:val="00342D34"/>
    <w:rsid w:val="00343B67"/>
    <w:rsid w:val="00345538"/>
    <w:rsid w:val="00346096"/>
    <w:rsid w:val="00346617"/>
    <w:rsid w:val="003503A7"/>
    <w:rsid w:val="003535C0"/>
    <w:rsid w:val="00355003"/>
    <w:rsid w:val="003615D5"/>
    <w:rsid w:val="003664A7"/>
    <w:rsid w:val="00380AA1"/>
    <w:rsid w:val="00381B09"/>
    <w:rsid w:val="00383259"/>
    <w:rsid w:val="0038509F"/>
    <w:rsid w:val="003865B2"/>
    <w:rsid w:val="00386C98"/>
    <w:rsid w:val="0039579A"/>
    <w:rsid w:val="003A0A05"/>
    <w:rsid w:val="003A1FC9"/>
    <w:rsid w:val="003B062B"/>
    <w:rsid w:val="003B2115"/>
    <w:rsid w:val="003B39E1"/>
    <w:rsid w:val="003B5DDE"/>
    <w:rsid w:val="003B78E9"/>
    <w:rsid w:val="003C1B2B"/>
    <w:rsid w:val="003C53BD"/>
    <w:rsid w:val="003D050F"/>
    <w:rsid w:val="003D0AEC"/>
    <w:rsid w:val="003D0FC3"/>
    <w:rsid w:val="003D2053"/>
    <w:rsid w:val="003D2550"/>
    <w:rsid w:val="003D2AAB"/>
    <w:rsid w:val="003D6515"/>
    <w:rsid w:val="003E3B57"/>
    <w:rsid w:val="003E51BA"/>
    <w:rsid w:val="003E5898"/>
    <w:rsid w:val="003F066D"/>
    <w:rsid w:val="004011E9"/>
    <w:rsid w:val="0040320C"/>
    <w:rsid w:val="0040324C"/>
    <w:rsid w:val="00411FFD"/>
    <w:rsid w:val="0041208C"/>
    <w:rsid w:val="004155D3"/>
    <w:rsid w:val="00420353"/>
    <w:rsid w:val="004211C1"/>
    <w:rsid w:val="0042151B"/>
    <w:rsid w:val="004225F4"/>
    <w:rsid w:val="00424424"/>
    <w:rsid w:val="0042769A"/>
    <w:rsid w:val="00431CB6"/>
    <w:rsid w:val="0043633D"/>
    <w:rsid w:val="00440A42"/>
    <w:rsid w:val="004413C0"/>
    <w:rsid w:val="00442C09"/>
    <w:rsid w:val="00444190"/>
    <w:rsid w:val="00450191"/>
    <w:rsid w:val="004520E2"/>
    <w:rsid w:val="00452BE1"/>
    <w:rsid w:val="00454A36"/>
    <w:rsid w:val="00457360"/>
    <w:rsid w:val="00457566"/>
    <w:rsid w:val="004602EA"/>
    <w:rsid w:val="00461A8D"/>
    <w:rsid w:val="0046483F"/>
    <w:rsid w:val="00464A01"/>
    <w:rsid w:val="0046565C"/>
    <w:rsid w:val="00465917"/>
    <w:rsid w:val="00466BDD"/>
    <w:rsid w:val="004672BB"/>
    <w:rsid w:val="0047173F"/>
    <w:rsid w:val="00475C23"/>
    <w:rsid w:val="00476573"/>
    <w:rsid w:val="00481703"/>
    <w:rsid w:val="00490A93"/>
    <w:rsid w:val="00491AD4"/>
    <w:rsid w:val="004951D8"/>
    <w:rsid w:val="00497BDA"/>
    <w:rsid w:val="004A07FE"/>
    <w:rsid w:val="004A60B2"/>
    <w:rsid w:val="004B0FF2"/>
    <w:rsid w:val="004B4208"/>
    <w:rsid w:val="004B4FD7"/>
    <w:rsid w:val="004C09F7"/>
    <w:rsid w:val="004C14CF"/>
    <w:rsid w:val="004D03DB"/>
    <w:rsid w:val="004D30F2"/>
    <w:rsid w:val="004D7685"/>
    <w:rsid w:val="004E151C"/>
    <w:rsid w:val="004E3339"/>
    <w:rsid w:val="004E51FC"/>
    <w:rsid w:val="004E5EF6"/>
    <w:rsid w:val="004F0365"/>
    <w:rsid w:val="004F0549"/>
    <w:rsid w:val="004F1C71"/>
    <w:rsid w:val="004F1DA1"/>
    <w:rsid w:val="004F3A6A"/>
    <w:rsid w:val="004F4502"/>
    <w:rsid w:val="004F67F7"/>
    <w:rsid w:val="004F7101"/>
    <w:rsid w:val="00501C78"/>
    <w:rsid w:val="005034B1"/>
    <w:rsid w:val="00503EF5"/>
    <w:rsid w:val="00503F8F"/>
    <w:rsid w:val="00504416"/>
    <w:rsid w:val="005054CA"/>
    <w:rsid w:val="00506052"/>
    <w:rsid w:val="00513AE8"/>
    <w:rsid w:val="00516504"/>
    <w:rsid w:val="00523ECC"/>
    <w:rsid w:val="00525DB4"/>
    <w:rsid w:val="005270B4"/>
    <w:rsid w:val="00530318"/>
    <w:rsid w:val="00537841"/>
    <w:rsid w:val="005414D4"/>
    <w:rsid w:val="0054169E"/>
    <w:rsid w:val="005434B4"/>
    <w:rsid w:val="00551F73"/>
    <w:rsid w:val="00561BD3"/>
    <w:rsid w:val="00562F01"/>
    <w:rsid w:val="00570C41"/>
    <w:rsid w:val="00575651"/>
    <w:rsid w:val="00581C47"/>
    <w:rsid w:val="00582A21"/>
    <w:rsid w:val="005867C0"/>
    <w:rsid w:val="00587191"/>
    <w:rsid w:val="00592C1B"/>
    <w:rsid w:val="005966A4"/>
    <w:rsid w:val="005A2837"/>
    <w:rsid w:val="005A3366"/>
    <w:rsid w:val="005A68FE"/>
    <w:rsid w:val="005B0933"/>
    <w:rsid w:val="005B10A2"/>
    <w:rsid w:val="005B2EB7"/>
    <w:rsid w:val="005B4E0B"/>
    <w:rsid w:val="005B4F4E"/>
    <w:rsid w:val="005B5B0E"/>
    <w:rsid w:val="005B69AB"/>
    <w:rsid w:val="005B6FA0"/>
    <w:rsid w:val="005C2344"/>
    <w:rsid w:val="005C28F5"/>
    <w:rsid w:val="005C3AD4"/>
    <w:rsid w:val="005C5D60"/>
    <w:rsid w:val="005C6BFE"/>
    <w:rsid w:val="005D24A3"/>
    <w:rsid w:val="005D404A"/>
    <w:rsid w:val="005D5ABD"/>
    <w:rsid w:val="005E6B77"/>
    <w:rsid w:val="005F24D7"/>
    <w:rsid w:val="005F323F"/>
    <w:rsid w:val="005F32F0"/>
    <w:rsid w:val="005F53EF"/>
    <w:rsid w:val="005F754F"/>
    <w:rsid w:val="006011F6"/>
    <w:rsid w:val="00601D62"/>
    <w:rsid w:val="00605617"/>
    <w:rsid w:val="006071F3"/>
    <w:rsid w:val="006220DF"/>
    <w:rsid w:val="006225C5"/>
    <w:rsid w:val="00623BC9"/>
    <w:rsid w:val="0062529E"/>
    <w:rsid w:val="0062561A"/>
    <w:rsid w:val="00627EE1"/>
    <w:rsid w:val="00630E76"/>
    <w:rsid w:val="00634C4F"/>
    <w:rsid w:val="00641704"/>
    <w:rsid w:val="0064195F"/>
    <w:rsid w:val="006534B4"/>
    <w:rsid w:val="00657BA0"/>
    <w:rsid w:val="006646F1"/>
    <w:rsid w:val="006702DD"/>
    <w:rsid w:val="00674AC9"/>
    <w:rsid w:val="00674DB5"/>
    <w:rsid w:val="00676EBD"/>
    <w:rsid w:val="00677DA4"/>
    <w:rsid w:val="00682AF6"/>
    <w:rsid w:val="006A122B"/>
    <w:rsid w:val="006B0ADB"/>
    <w:rsid w:val="006B1150"/>
    <w:rsid w:val="006C399E"/>
    <w:rsid w:val="006D0F09"/>
    <w:rsid w:val="006E3412"/>
    <w:rsid w:val="006E531A"/>
    <w:rsid w:val="006F546E"/>
    <w:rsid w:val="006F5D7B"/>
    <w:rsid w:val="006F68E7"/>
    <w:rsid w:val="006F7707"/>
    <w:rsid w:val="007003B5"/>
    <w:rsid w:val="00701C2F"/>
    <w:rsid w:val="00710267"/>
    <w:rsid w:val="0071178D"/>
    <w:rsid w:val="00744B0A"/>
    <w:rsid w:val="007505EC"/>
    <w:rsid w:val="00750F79"/>
    <w:rsid w:val="00751BA5"/>
    <w:rsid w:val="0075463C"/>
    <w:rsid w:val="00767F07"/>
    <w:rsid w:val="00773EA3"/>
    <w:rsid w:val="00774EC7"/>
    <w:rsid w:val="007833DB"/>
    <w:rsid w:val="007905DB"/>
    <w:rsid w:val="00791576"/>
    <w:rsid w:val="007940E5"/>
    <w:rsid w:val="00794753"/>
    <w:rsid w:val="007A2045"/>
    <w:rsid w:val="007A7084"/>
    <w:rsid w:val="007A719F"/>
    <w:rsid w:val="007A71D1"/>
    <w:rsid w:val="007A7A40"/>
    <w:rsid w:val="007B6191"/>
    <w:rsid w:val="007C1BB3"/>
    <w:rsid w:val="007C1E7E"/>
    <w:rsid w:val="007C477B"/>
    <w:rsid w:val="007C736A"/>
    <w:rsid w:val="007E0EDA"/>
    <w:rsid w:val="007E1F50"/>
    <w:rsid w:val="007E4EBB"/>
    <w:rsid w:val="007F1589"/>
    <w:rsid w:val="00811E70"/>
    <w:rsid w:val="00814119"/>
    <w:rsid w:val="00814375"/>
    <w:rsid w:val="00822083"/>
    <w:rsid w:val="008253EA"/>
    <w:rsid w:val="00830F22"/>
    <w:rsid w:val="008331B9"/>
    <w:rsid w:val="008338C5"/>
    <w:rsid w:val="00834915"/>
    <w:rsid w:val="008462A7"/>
    <w:rsid w:val="00847F5A"/>
    <w:rsid w:val="008502C2"/>
    <w:rsid w:val="00850DB2"/>
    <w:rsid w:val="008708CD"/>
    <w:rsid w:val="00871410"/>
    <w:rsid w:val="0087209C"/>
    <w:rsid w:val="00877775"/>
    <w:rsid w:val="0088053B"/>
    <w:rsid w:val="00881271"/>
    <w:rsid w:val="008819AC"/>
    <w:rsid w:val="0088445D"/>
    <w:rsid w:val="00894179"/>
    <w:rsid w:val="00895443"/>
    <w:rsid w:val="008A0A4F"/>
    <w:rsid w:val="008A3981"/>
    <w:rsid w:val="008A74E0"/>
    <w:rsid w:val="008B2A6B"/>
    <w:rsid w:val="008B3E10"/>
    <w:rsid w:val="008B548C"/>
    <w:rsid w:val="008B6D50"/>
    <w:rsid w:val="008C05E9"/>
    <w:rsid w:val="008C1AE1"/>
    <w:rsid w:val="008C21E9"/>
    <w:rsid w:val="008C6252"/>
    <w:rsid w:val="008D21C9"/>
    <w:rsid w:val="008D5D1C"/>
    <w:rsid w:val="008E0D8F"/>
    <w:rsid w:val="008E33DE"/>
    <w:rsid w:val="008E4DAD"/>
    <w:rsid w:val="008F157F"/>
    <w:rsid w:val="00902689"/>
    <w:rsid w:val="0091301F"/>
    <w:rsid w:val="00913D94"/>
    <w:rsid w:val="00914428"/>
    <w:rsid w:val="009178A3"/>
    <w:rsid w:val="00921EFC"/>
    <w:rsid w:val="009238E0"/>
    <w:rsid w:val="00924478"/>
    <w:rsid w:val="00924E45"/>
    <w:rsid w:val="00926B14"/>
    <w:rsid w:val="00932020"/>
    <w:rsid w:val="0093280D"/>
    <w:rsid w:val="00932DF3"/>
    <w:rsid w:val="00934EB6"/>
    <w:rsid w:val="009510F9"/>
    <w:rsid w:val="00956F94"/>
    <w:rsid w:val="00962A6C"/>
    <w:rsid w:val="00965133"/>
    <w:rsid w:val="00974693"/>
    <w:rsid w:val="00977313"/>
    <w:rsid w:val="00987DF9"/>
    <w:rsid w:val="009918BB"/>
    <w:rsid w:val="009950D4"/>
    <w:rsid w:val="00997E9C"/>
    <w:rsid w:val="009A0205"/>
    <w:rsid w:val="009A0BC1"/>
    <w:rsid w:val="009A2B91"/>
    <w:rsid w:val="009A40FC"/>
    <w:rsid w:val="009A5E10"/>
    <w:rsid w:val="009B063F"/>
    <w:rsid w:val="009B4612"/>
    <w:rsid w:val="009B57AB"/>
    <w:rsid w:val="009B5A64"/>
    <w:rsid w:val="009C18C2"/>
    <w:rsid w:val="009C7729"/>
    <w:rsid w:val="009C7743"/>
    <w:rsid w:val="009D2687"/>
    <w:rsid w:val="009D383A"/>
    <w:rsid w:val="009D6C88"/>
    <w:rsid w:val="009E2A42"/>
    <w:rsid w:val="009E37EC"/>
    <w:rsid w:val="009E4C0D"/>
    <w:rsid w:val="009E74D1"/>
    <w:rsid w:val="009E7C1D"/>
    <w:rsid w:val="009F06D1"/>
    <w:rsid w:val="009F3C8F"/>
    <w:rsid w:val="009F4110"/>
    <w:rsid w:val="009F45D1"/>
    <w:rsid w:val="009F61EE"/>
    <w:rsid w:val="009F778A"/>
    <w:rsid w:val="009F77BD"/>
    <w:rsid w:val="00A009F3"/>
    <w:rsid w:val="00A020A3"/>
    <w:rsid w:val="00A05947"/>
    <w:rsid w:val="00A059FA"/>
    <w:rsid w:val="00A05D81"/>
    <w:rsid w:val="00A1242D"/>
    <w:rsid w:val="00A16884"/>
    <w:rsid w:val="00A17524"/>
    <w:rsid w:val="00A220E5"/>
    <w:rsid w:val="00A32175"/>
    <w:rsid w:val="00A33F40"/>
    <w:rsid w:val="00A40F82"/>
    <w:rsid w:val="00A44B0A"/>
    <w:rsid w:val="00A45BCD"/>
    <w:rsid w:val="00A4761E"/>
    <w:rsid w:val="00A5064E"/>
    <w:rsid w:val="00A518A1"/>
    <w:rsid w:val="00A557A4"/>
    <w:rsid w:val="00A57BF2"/>
    <w:rsid w:val="00A71C5E"/>
    <w:rsid w:val="00A82CFE"/>
    <w:rsid w:val="00A97BF5"/>
    <w:rsid w:val="00AB0FDA"/>
    <w:rsid w:val="00AB7CDA"/>
    <w:rsid w:val="00AC1532"/>
    <w:rsid w:val="00AC1601"/>
    <w:rsid w:val="00AC3C61"/>
    <w:rsid w:val="00AC413F"/>
    <w:rsid w:val="00AC4AB7"/>
    <w:rsid w:val="00AD0DA0"/>
    <w:rsid w:val="00AD28B8"/>
    <w:rsid w:val="00AD598B"/>
    <w:rsid w:val="00AE0EBB"/>
    <w:rsid w:val="00AE6B54"/>
    <w:rsid w:val="00AE6EA8"/>
    <w:rsid w:val="00AF18B5"/>
    <w:rsid w:val="00AF1F7F"/>
    <w:rsid w:val="00AF3EB1"/>
    <w:rsid w:val="00AF4E79"/>
    <w:rsid w:val="00AF5BDC"/>
    <w:rsid w:val="00B01291"/>
    <w:rsid w:val="00B023D5"/>
    <w:rsid w:val="00B0433E"/>
    <w:rsid w:val="00B07F2F"/>
    <w:rsid w:val="00B1050D"/>
    <w:rsid w:val="00B105E5"/>
    <w:rsid w:val="00B10F8A"/>
    <w:rsid w:val="00B11674"/>
    <w:rsid w:val="00B11DCD"/>
    <w:rsid w:val="00B122B6"/>
    <w:rsid w:val="00B14638"/>
    <w:rsid w:val="00B146D1"/>
    <w:rsid w:val="00B15D6F"/>
    <w:rsid w:val="00B1708E"/>
    <w:rsid w:val="00B17290"/>
    <w:rsid w:val="00B20F13"/>
    <w:rsid w:val="00B21E73"/>
    <w:rsid w:val="00B24483"/>
    <w:rsid w:val="00B24BDD"/>
    <w:rsid w:val="00B25287"/>
    <w:rsid w:val="00B308C7"/>
    <w:rsid w:val="00B3424B"/>
    <w:rsid w:val="00B37784"/>
    <w:rsid w:val="00B41397"/>
    <w:rsid w:val="00B42AB4"/>
    <w:rsid w:val="00B430FF"/>
    <w:rsid w:val="00B438CC"/>
    <w:rsid w:val="00B465B0"/>
    <w:rsid w:val="00B4782C"/>
    <w:rsid w:val="00B524B9"/>
    <w:rsid w:val="00B5512B"/>
    <w:rsid w:val="00B672B4"/>
    <w:rsid w:val="00B74A09"/>
    <w:rsid w:val="00B74E66"/>
    <w:rsid w:val="00B7554C"/>
    <w:rsid w:val="00B75C20"/>
    <w:rsid w:val="00B80B37"/>
    <w:rsid w:val="00B80B98"/>
    <w:rsid w:val="00B80E9F"/>
    <w:rsid w:val="00B87869"/>
    <w:rsid w:val="00B90018"/>
    <w:rsid w:val="00B9136F"/>
    <w:rsid w:val="00B9281B"/>
    <w:rsid w:val="00B92CDA"/>
    <w:rsid w:val="00BA1B2D"/>
    <w:rsid w:val="00BA1D93"/>
    <w:rsid w:val="00BA44B8"/>
    <w:rsid w:val="00BA490E"/>
    <w:rsid w:val="00BB4AE9"/>
    <w:rsid w:val="00BB59D5"/>
    <w:rsid w:val="00BC5309"/>
    <w:rsid w:val="00BD0046"/>
    <w:rsid w:val="00BD64F3"/>
    <w:rsid w:val="00BE6CD0"/>
    <w:rsid w:val="00BF2910"/>
    <w:rsid w:val="00BF2E27"/>
    <w:rsid w:val="00BF3585"/>
    <w:rsid w:val="00BF7871"/>
    <w:rsid w:val="00C0756F"/>
    <w:rsid w:val="00C0776C"/>
    <w:rsid w:val="00C100F2"/>
    <w:rsid w:val="00C10456"/>
    <w:rsid w:val="00C1444A"/>
    <w:rsid w:val="00C21761"/>
    <w:rsid w:val="00C32901"/>
    <w:rsid w:val="00C41F0B"/>
    <w:rsid w:val="00C4396F"/>
    <w:rsid w:val="00C44385"/>
    <w:rsid w:val="00C46C0B"/>
    <w:rsid w:val="00C50B5A"/>
    <w:rsid w:val="00C51158"/>
    <w:rsid w:val="00C535DD"/>
    <w:rsid w:val="00C53B82"/>
    <w:rsid w:val="00C5436F"/>
    <w:rsid w:val="00C547E4"/>
    <w:rsid w:val="00C55DD3"/>
    <w:rsid w:val="00C56C19"/>
    <w:rsid w:val="00C56E90"/>
    <w:rsid w:val="00C63FB4"/>
    <w:rsid w:val="00C66896"/>
    <w:rsid w:val="00C70B4D"/>
    <w:rsid w:val="00C71F03"/>
    <w:rsid w:val="00C737DF"/>
    <w:rsid w:val="00C73F6F"/>
    <w:rsid w:val="00C756AC"/>
    <w:rsid w:val="00C86CBF"/>
    <w:rsid w:val="00C9480C"/>
    <w:rsid w:val="00C95546"/>
    <w:rsid w:val="00CA49C3"/>
    <w:rsid w:val="00CB2725"/>
    <w:rsid w:val="00CB3415"/>
    <w:rsid w:val="00CB5B0C"/>
    <w:rsid w:val="00CB6DCC"/>
    <w:rsid w:val="00CC0CB8"/>
    <w:rsid w:val="00CC277A"/>
    <w:rsid w:val="00CC2D61"/>
    <w:rsid w:val="00CC4EE3"/>
    <w:rsid w:val="00CC5321"/>
    <w:rsid w:val="00CD05BF"/>
    <w:rsid w:val="00CD683C"/>
    <w:rsid w:val="00CD6943"/>
    <w:rsid w:val="00CD6D5D"/>
    <w:rsid w:val="00CD7CB9"/>
    <w:rsid w:val="00CE0412"/>
    <w:rsid w:val="00CE09E2"/>
    <w:rsid w:val="00CE0CBD"/>
    <w:rsid w:val="00CE4A63"/>
    <w:rsid w:val="00CF0618"/>
    <w:rsid w:val="00CF10E3"/>
    <w:rsid w:val="00CF1689"/>
    <w:rsid w:val="00CF6040"/>
    <w:rsid w:val="00D016D5"/>
    <w:rsid w:val="00D02148"/>
    <w:rsid w:val="00D05FFD"/>
    <w:rsid w:val="00D12D13"/>
    <w:rsid w:val="00D15A4B"/>
    <w:rsid w:val="00D1751E"/>
    <w:rsid w:val="00D17E2E"/>
    <w:rsid w:val="00D22A01"/>
    <w:rsid w:val="00D270C7"/>
    <w:rsid w:val="00D30802"/>
    <w:rsid w:val="00D3238F"/>
    <w:rsid w:val="00D37770"/>
    <w:rsid w:val="00D4248C"/>
    <w:rsid w:val="00D4334D"/>
    <w:rsid w:val="00D43E1E"/>
    <w:rsid w:val="00D5082E"/>
    <w:rsid w:val="00D52159"/>
    <w:rsid w:val="00D547C1"/>
    <w:rsid w:val="00D5520E"/>
    <w:rsid w:val="00D55E13"/>
    <w:rsid w:val="00D56586"/>
    <w:rsid w:val="00D57900"/>
    <w:rsid w:val="00D57D81"/>
    <w:rsid w:val="00D60032"/>
    <w:rsid w:val="00D6345C"/>
    <w:rsid w:val="00D63903"/>
    <w:rsid w:val="00D6726F"/>
    <w:rsid w:val="00D701B5"/>
    <w:rsid w:val="00D71C45"/>
    <w:rsid w:val="00D75146"/>
    <w:rsid w:val="00D76A7A"/>
    <w:rsid w:val="00D80633"/>
    <w:rsid w:val="00D81457"/>
    <w:rsid w:val="00D83DC3"/>
    <w:rsid w:val="00D86AA2"/>
    <w:rsid w:val="00D90271"/>
    <w:rsid w:val="00D92A4A"/>
    <w:rsid w:val="00D9458C"/>
    <w:rsid w:val="00D95CC3"/>
    <w:rsid w:val="00D97053"/>
    <w:rsid w:val="00DA6E4F"/>
    <w:rsid w:val="00DA7EA6"/>
    <w:rsid w:val="00DB0D0B"/>
    <w:rsid w:val="00DB1BD6"/>
    <w:rsid w:val="00DB4528"/>
    <w:rsid w:val="00DB6554"/>
    <w:rsid w:val="00DB75D1"/>
    <w:rsid w:val="00DB7E64"/>
    <w:rsid w:val="00DC57C6"/>
    <w:rsid w:val="00DD25BA"/>
    <w:rsid w:val="00DD3D59"/>
    <w:rsid w:val="00DD6807"/>
    <w:rsid w:val="00DE0411"/>
    <w:rsid w:val="00DE3A97"/>
    <w:rsid w:val="00DE3E70"/>
    <w:rsid w:val="00DE7185"/>
    <w:rsid w:val="00DF07C5"/>
    <w:rsid w:val="00DF5433"/>
    <w:rsid w:val="00E0090C"/>
    <w:rsid w:val="00E00BDE"/>
    <w:rsid w:val="00E01FDF"/>
    <w:rsid w:val="00E02CC7"/>
    <w:rsid w:val="00E02E36"/>
    <w:rsid w:val="00E06C62"/>
    <w:rsid w:val="00E1124B"/>
    <w:rsid w:val="00E12F76"/>
    <w:rsid w:val="00E15157"/>
    <w:rsid w:val="00E2112C"/>
    <w:rsid w:val="00E21947"/>
    <w:rsid w:val="00E221A6"/>
    <w:rsid w:val="00E2332A"/>
    <w:rsid w:val="00E24B39"/>
    <w:rsid w:val="00E30348"/>
    <w:rsid w:val="00E31DF3"/>
    <w:rsid w:val="00E31F3B"/>
    <w:rsid w:val="00E31FC3"/>
    <w:rsid w:val="00E33CC5"/>
    <w:rsid w:val="00E343AA"/>
    <w:rsid w:val="00E54158"/>
    <w:rsid w:val="00E54DA9"/>
    <w:rsid w:val="00E60A45"/>
    <w:rsid w:val="00E61717"/>
    <w:rsid w:val="00E62721"/>
    <w:rsid w:val="00E701AC"/>
    <w:rsid w:val="00E719FF"/>
    <w:rsid w:val="00E72FD9"/>
    <w:rsid w:val="00E73BFD"/>
    <w:rsid w:val="00E750C9"/>
    <w:rsid w:val="00E76A3F"/>
    <w:rsid w:val="00E840BB"/>
    <w:rsid w:val="00E93E49"/>
    <w:rsid w:val="00E945C8"/>
    <w:rsid w:val="00E95BDD"/>
    <w:rsid w:val="00E96344"/>
    <w:rsid w:val="00E9776E"/>
    <w:rsid w:val="00EA597D"/>
    <w:rsid w:val="00EB1A4F"/>
    <w:rsid w:val="00EB1AE4"/>
    <w:rsid w:val="00EB4FB7"/>
    <w:rsid w:val="00EB56F6"/>
    <w:rsid w:val="00EC069E"/>
    <w:rsid w:val="00EC21E3"/>
    <w:rsid w:val="00EC2807"/>
    <w:rsid w:val="00EC60FB"/>
    <w:rsid w:val="00EC6149"/>
    <w:rsid w:val="00ED4056"/>
    <w:rsid w:val="00ED662A"/>
    <w:rsid w:val="00ED7B42"/>
    <w:rsid w:val="00ED7BCD"/>
    <w:rsid w:val="00ED7F45"/>
    <w:rsid w:val="00ED7F84"/>
    <w:rsid w:val="00EE265C"/>
    <w:rsid w:val="00EE7E76"/>
    <w:rsid w:val="00EF0897"/>
    <w:rsid w:val="00EF5625"/>
    <w:rsid w:val="00F1064E"/>
    <w:rsid w:val="00F114D0"/>
    <w:rsid w:val="00F11835"/>
    <w:rsid w:val="00F1412F"/>
    <w:rsid w:val="00F22871"/>
    <w:rsid w:val="00F26A2D"/>
    <w:rsid w:val="00F27757"/>
    <w:rsid w:val="00F329B3"/>
    <w:rsid w:val="00F37102"/>
    <w:rsid w:val="00F51D3C"/>
    <w:rsid w:val="00F52D36"/>
    <w:rsid w:val="00F55344"/>
    <w:rsid w:val="00F62CC7"/>
    <w:rsid w:val="00F640F5"/>
    <w:rsid w:val="00F656D6"/>
    <w:rsid w:val="00F66C22"/>
    <w:rsid w:val="00F67969"/>
    <w:rsid w:val="00F67EEB"/>
    <w:rsid w:val="00F7001F"/>
    <w:rsid w:val="00F70B01"/>
    <w:rsid w:val="00F722D5"/>
    <w:rsid w:val="00F72B97"/>
    <w:rsid w:val="00F8393B"/>
    <w:rsid w:val="00F85748"/>
    <w:rsid w:val="00F86826"/>
    <w:rsid w:val="00F9709C"/>
    <w:rsid w:val="00FA4461"/>
    <w:rsid w:val="00FB1100"/>
    <w:rsid w:val="00FB19A4"/>
    <w:rsid w:val="00FB41DE"/>
    <w:rsid w:val="00FB45E2"/>
    <w:rsid w:val="00FB5B06"/>
    <w:rsid w:val="00FC1567"/>
    <w:rsid w:val="00FC1581"/>
    <w:rsid w:val="00FC15AF"/>
    <w:rsid w:val="00FC6501"/>
    <w:rsid w:val="00FC7344"/>
    <w:rsid w:val="00FD128E"/>
    <w:rsid w:val="00FD5024"/>
    <w:rsid w:val="00FE0423"/>
    <w:rsid w:val="00FE103F"/>
    <w:rsid w:val="00FE2540"/>
    <w:rsid w:val="00FE29AF"/>
    <w:rsid w:val="00FF5F29"/>
    <w:rsid w:val="00FF63E9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2EA"/>
  </w:style>
  <w:style w:type="paragraph" w:styleId="1">
    <w:name w:val="heading 1"/>
    <w:basedOn w:val="a"/>
    <w:next w:val="a"/>
    <w:rsid w:val="004602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602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602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602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602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602E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602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602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602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7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857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748"/>
    <w:rPr>
      <w:rFonts w:ascii="Tahoma" w:hAnsi="Tahoma" w:cs="Tahoma"/>
      <w:sz w:val="16"/>
      <w:szCs w:val="16"/>
    </w:rPr>
  </w:style>
  <w:style w:type="table" w:styleId="-4">
    <w:name w:val="Light List Accent 4"/>
    <w:basedOn w:val="a1"/>
    <w:uiPriority w:val="61"/>
    <w:rsid w:val="009F45D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5F32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F323F"/>
  </w:style>
  <w:style w:type="paragraph" w:styleId="af2">
    <w:name w:val="footer"/>
    <w:basedOn w:val="a"/>
    <w:link w:val="af3"/>
    <w:uiPriority w:val="99"/>
    <w:semiHidden/>
    <w:unhideWhenUsed/>
    <w:rsid w:val="005F323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F323F"/>
  </w:style>
  <w:style w:type="table" w:styleId="af4">
    <w:name w:val="Table Grid"/>
    <w:basedOn w:val="a1"/>
    <w:uiPriority w:val="59"/>
    <w:rsid w:val="00F62C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Intense Quote"/>
    <w:basedOn w:val="a"/>
    <w:next w:val="a"/>
    <w:link w:val="af6"/>
    <w:uiPriority w:val="30"/>
    <w:qFormat/>
    <w:rsid w:val="00E60A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E60A45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E60A45"/>
    <w:rPr>
      <w:b/>
      <w:bCs/>
      <w:i/>
      <w:iCs/>
      <w:color w:val="4F81BD" w:themeColor="accent1"/>
    </w:rPr>
  </w:style>
  <w:style w:type="paragraph" w:styleId="af8">
    <w:name w:val="No Spacing"/>
    <w:uiPriority w:val="1"/>
    <w:qFormat/>
    <w:rsid w:val="003535C0"/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7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857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EE09-2DD2-4ABB-8A70-CA487EBA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ЛР</cp:lastModifiedBy>
  <cp:revision>255</cp:revision>
  <cp:lastPrinted>2022-05-16T10:57:00Z</cp:lastPrinted>
  <dcterms:created xsi:type="dcterms:W3CDTF">2020-09-22T13:50:00Z</dcterms:created>
  <dcterms:modified xsi:type="dcterms:W3CDTF">2023-03-22T12:34:00Z</dcterms:modified>
</cp:coreProperties>
</file>