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A7C7" w14:textId="77777777" w:rsidR="009A198B" w:rsidRPr="007D74C2" w:rsidRDefault="009A198B" w:rsidP="009A198B">
      <w:pPr>
        <w:spacing w:after="0" w:line="240" w:lineRule="auto"/>
        <w:ind w:firstLine="426"/>
        <w:jc w:val="center"/>
        <w:rPr>
          <w:rFonts w:ascii="Verdana" w:hAnsi="Verdana" w:cstheme="minorHAnsi"/>
          <w:b/>
          <w:bCs/>
          <w:caps/>
          <w:color w:val="066A74"/>
          <w:sz w:val="24"/>
          <w:szCs w:val="24"/>
        </w:rPr>
      </w:pPr>
      <w:r w:rsidRPr="007D74C2">
        <w:rPr>
          <w:rFonts w:ascii="Verdana" w:hAnsi="Verdana" w:cstheme="minorHAnsi"/>
          <w:b/>
          <w:bCs/>
          <w:caps/>
          <w:color w:val="066A74"/>
          <w:sz w:val="24"/>
          <w:szCs w:val="24"/>
        </w:rPr>
        <w:t>Комунальне підприємство</w:t>
      </w:r>
    </w:p>
    <w:p w14:paraId="4E8B6B5D" w14:textId="77777777" w:rsidR="009A198B" w:rsidRPr="007D74C2" w:rsidRDefault="009A198B" w:rsidP="009A198B">
      <w:pPr>
        <w:spacing w:after="0" w:line="240" w:lineRule="auto"/>
        <w:ind w:firstLine="426"/>
        <w:jc w:val="center"/>
        <w:rPr>
          <w:rFonts w:ascii="Verdana" w:hAnsi="Verdana" w:cstheme="minorHAnsi"/>
          <w:b/>
          <w:bCs/>
          <w:caps/>
          <w:color w:val="066A74"/>
          <w:sz w:val="24"/>
          <w:szCs w:val="24"/>
        </w:rPr>
      </w:pPr>
      <w:r w:rsidRPr="007D74C2">
        <w:rPr>
          <w:rFonts w:ascii="Verdana" w:hAnsi="Verdana" w:cstheme="minorHAnsi"/>
          <w:b/>
          <w:bCs/>
          <w:caps/>
          <w:color w:val="066A74"/>
          <w:sz w:val="24"/>
          <w:szCs w:val="24"/>
        </w:rPr>
        <w:t>«Хмельницька міська дитяча лікарня»</w:t>
      </w:r>
    </w:p>
    <w:p w14:paraId="0CD449E0" w14:textId="057712B3" w:rsidR="009A198B" w:rsidRPr="007D74C2" w:rsidRDefault="009A198B" w:rsidP="009A198B">
      <w:pPr>
        <w:spacing w:after="0" w:line="240" w:lineRule="auto"/>
        <w:ind w:firstLine="426"/>
        <w:jc w:val="center"/>
        <w:rPr>
          <w:rFonts w:ascii="Verdana" w:hAnsi="Verdana" w:cstheme="minorHAnsi"/>
          <w:b/>
          <w:bCs/>
          <w:caps/>
          <w:color w:val="066A74"/>
          <w:sz w:val="24"/>
          <w:szCs w:val="24"/>
        </w:rPr>
      </w:pPr>
      <w:r w:rsidRPr="007D74C2">
        <w:rPr>
          <w:rFonts w:ascii="Verdana" w:hAnsi="Verdana" w:cstheme="minorHAnsi"/>
          <w:b/>
          <w:bCs/>
          <w:caps/>
          <w:color w:val="066A74"/>
          <w:sz w:val="24"/>
          <w:szCs w:val="24"/>
        </w:rPr>
        <w:t>Хмельницької міської ради</w:t>
      </w:r>
    </w:p>
    <w:p w14:paraId="44150A95" w14:textId="7C816AC3" w:rsidR="00075533" w:rsidRPr="007D74C2" w:rsidRDefault="00075533" w:rsidP="009A198B">
      <w:pPr>
        <w:spacing w:after="0" w:line="240" w:lineRule="auto"/>
        <w:ind w:firstLine="426"/>
        <w:jc w:val="center"/>
        <w:rPr>
          <w:rFonts w:ascii="Verdana" w:hAnsi="Verdana" w:cstheme="minorHAnsi"/>
          <w:b/>
          <w:bCs/>
          <w:caps/>
          <w:color w:val="066A74"/>
          <w:sz w:val="24"/>
          <w:szCs w:val="24"/>
        </w:rPr>
      </w:pPr>
      <w:r w:rsidRPr="007D74C2">
        <w:rPr>
          <w:rFonts w:ascii="Verdana" w:hAnsi="Verdana" w:cstheme="minorHAnsi"/>
          <w:b/>
          <w:bCs/>
          <w:caps/>
          <w:color w:val="066A74"/>
          <w:sz w:val="24"/>
          <w:szCs w:val="24"/>
        </w:rPr>
        <w:t>(КП «ХМДЛ»)</w:t>
      </w:r>
    </w:p>
    <w:p w14:paraId="1E7B1603" w14:textId="73084515" w:rsidR="009A198B" w:rsidRPr="007D74C2" w:rsidRDefault="009A198B" w:rsidP="009A198B">
      <w:pPr>
        <w:spacing w:after="0" w:line="240" w:lineRule="auto"/>
        <w:ind w:firstLine="426"/>
        <w:jc w:val="center"/>
        <w:rPr>
          <w:rFonts w:ascii="Verdana" w:hAnsi="Verdana"/>
          <w:b/>
          <w:bCs/>
          <w:color w:val="066A74"/>
          <w:sz w:val="24"/>
          <w:szCs w:val="24"/>
        </w:rPr>
      </w:pPr>
    </w:p>
    <w:p w14:paraId="1F4F2839" w14:textId="7632F888" w:rsidR="009A198B" w:rsidRPr="007D74C2" w:rsidRDefault="009A198B" w:rsidP="009A198B">
      <w:pPr>
        <w:spacing w:after="0" w:line="240" w:lineRule="auto"/>
        <w:ind w:firstLine="426"/>
        <w:jc w:val="center"/>
        <w:rPr>
          <w:rFonts w:ascii="Verdana" w:hAnsi="Verdana"/>
          <w:b/>
          <w:bCs/>
          <w:color w:val="066A74"/>
          <w:sz w:val="24"/>
          <w:szCs w:val="24"/>
        </w:rPr>
      </w:pPr>
      <w:r w:rsidRPr="007D74C2">
        <w:rPr>
          <w:rFonts w:ascii="Verdana" w:hAnsi="Verdana"/>
          <w:b/>
          <w:bCs/>
          <w:color w:val="066A74"/>
          <w:sz w:val="24"/>
          <w:szCs w:val="24"/>
        </w:rPr>
        <w:t>РІЧНИЙ ЗВІТ КЕРІВНИКА</w:t>
      </w:r>
    </w:p>
    <w:p w14:paraId="1C756A2D" w14:textId="719B287C" w:rsidR="009A198B" w:rsidRPr="007D74C2" w:rsidRDefault="009A198B" w:rsidP="009A198B">
      <w:pPr>
        <w:spacing w:after="0" w:line="240" w:lineRule="auto"/>
        <w:ind w:firstLine="426"/>
        <w:jc w:val="center"/>
        <w:rPr>
          <w:rFonts w:ascii="Verdana" w:hAnsi="Verdana"/>
          <w:b/>
          <w:bCs/>
          <w:color w:val="066A74"/>
          <w:sz w:val="24"/>
          <w:szCs w:val="24"/>
        </w:rPr>
      </w:pPr>
      <w:r w:rsidRPr="007D74C2">
        <w:rPr>
          <w:rFonts w:ascii="Verdana" w:hAnsi="Verdana"/>
          <w:b/>
          <w:bCs/>
          <w:color w:val="066A74"/>
          <w:sz w:val="24"/>
          <w:szCs w:val="24"/>
        </w:rPr>
        <w:t>ЗА 2024 РІК</w:t>
      </w:r>
    </w:p>
    <w:p w14:paraId="1C3946C9" w14:textId="77777777" w:rsidR="009A198B" w:rsidRPr="007D74C2" w:rsidRDefault="009A198B" w:rsidP="009A198B">
      <w:pPr>
        <w:spacing w:after="0" w:line="240" w:lineRule="auto"/>
        <w:ind w:firstLine="426"/>
        <w:jc w:val="both"/>
        <w:rPr>
          <w:rFonts w:ascii="Verdana" w:hAnsi="Verdana"/>
          <w:b/>
          <w:bCs/>
          <w:color w:val="066A74"/>
        </w:rPr>
      </w:pPr>
    </w:p>
    <w:p w14:paraId="6C5A5008" w14:textId="4722C701" w:rsidR="009A198B" w:rsidRPr="009A198B" w:rsidRDefault="009A198B" w:rsidP="009A198B">
      <w:pPr>
        <w:spacing w:after="0" w:line="240" w:lineRule="auto"/>
        <w:ind w:firstLine="426"/>
        <w:jc w:val="both"/>
        <w:rPr>
          <w:rFonts w:ascii="Verdana" w:hAnsi="Verdana"/>
        </w:rPr>
      </w:pPr>
      <w:r w:rsidRPr="007D74C2">
        <w:rPr>
          <w:rFonts w:ascii="Verdana" w:hAnsi="Verdana"/>
          <w:b/>
          <w:bCs/>
          <w:color w:val="066A74"/>
        </w:rPr>
        <w:t>Комунальне підприємство "Хмельницька міська дитяча лікарня" Хмельницької міської ради</w:t>
      </w:r>
      <w:r w:rsidRPr="007D74C2">
        <w:rPr>
          <w:rFonts w:ascii="Verdana" w:hAnsi="Verdana"/>
          <w:color w:val="066A74"/>
        </w:rPr>
        <w:t xml:space="preserve"> </w:t>
      </w:r>
      <w:r w:rsidRPr="009A198B">
        <w:rPr>
          <w:rFonts w:ascii="Verdana" w:hAnsi="Verdana"/>
        </w:rPr>
        <w:t>– це:</w:t>
      </w:r>
    </w:p>
    <w:p w14:paraId="5FBD43B5"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Потужний та найбільший у регіоні багатопрофільний лікувальний заклад для дітей;</w:t>
      </w:r>
    </w:p>
    <w:p w14:paraId="7ADB59E1"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Висококваліфікована спеціалізована консультативна поліклінічна, планова та ургентна стаціонарна допомога, діагностика, дитяча реабілітація та паліативна допомога;</w:t>
      </w:r>
    </w:p>
    <w:p w14:paraId="4C1418DB"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 xml:space="preserve">Широкий спектр оперативних втручань (включно із кардіохірургією, нейрохірургією, торакальною та неонатальною хірургією); </w:t>
      </w:r>
    </w:p>
    <w:p w14:paraId="3A0A56CF"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41 спеціальність;</w:t>
      </w:r>
    </w:p>
    <w:p w14:paraId="39B12774"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Унікальні для області неврологічне, отоларингологічне та стоматологічне відділення для дітей;</w:t>
      </w:r>
    </w:p>
    <w:p w14:paraId="5C436854"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База проходження інтернатури та підвищення кваліфікації лікарів і середнього медичного персоналу;</w:t>
      </w:r>
    </w:p>
    <w:p w14:paraId="21063A88"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Вища акредитаційна категорія;</w:t>
      </w:r>
    </w:p>
    <w:p w14:paraId="070028FC"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Договір з Національною службою здоров’я (НСЗУ) на 14 пакетів за Програмою медичних гарантій (ПМГ) 2025;</w:t>
      </w:r>
    </w:p>
    <w:p w14:paraId="2C30FA27" w14:textId="77777777" w:rsidR="009A198B" w:rsidRPr="009A198B" w:rsidRDefault="009A198B" w:rsidP="009A198B">
      <w:pPr>
        <w:pStyle w:val="a8"/>
        <w:numPr>
          <w:ilvl w:val="0"/>
          <w:numId w:val="1"/>
        </w:numPr>
        <w:spacing w:after="0" w:line="240" w:lineRule="auto"/>
        <w:ind w:left="709"/>
        <w:jc w:val="both"/>
        <w:rPr>
          <w:rFonts w:ascii="Verdana" w:hAnsi="Verdana"/>
        </w:rPr>
      </w:pPr>
      <w:r w:rsidRPr="009A198B">
        <w:rPr>
          <w:rFonts w:ascii="Verdana" w:hAnsi="Verdana"/>
        </w:rPr>
        <w:t>Участь в програмах та дослідженнях, партнерство та активна міжнародна співпраця.</w:t>
      </w:r>
    </w:p>
    <w:p w14:paraId="65ACCBEE" w14:textId="77777777" w:rsidR="00DD5D90" w:rsidRPr="007D74C2" w:rsidRDefault="00DD5D90" w:rsidP="009A198B">
      <w:pPr>
        <w:spacing w:after="0" w:line="240" w:lineRule="auto"/>
        <w:ind w:firstLine="349"/>
        <w:jc w:val="both"/>
        <w:rPr>
          <w:rFonts w:ascii="Verdana" w:hAnsi="Verdana" w:cstheme="minorHAnsi"/>
          <w:b/>
          <w:bCs/>
          <w:caps/>
          <w:color w:val="066A74"/>
        </w:rPr>
      </w:pPr>
    </w:p>
    <w:p w14:paraId="6DF98341" w14:textId="033A110D" w:rsidR="009A198B" w:rsidRPr="007D74C2" w:rsidRDefault="009A198B" w:rsidP="009A198B">
      <w:pPr>
        <w:spacing w:after="0" w:line="240" w:lineRule="auto"/>
        <w:ind w:firstLine="349"/>
        <w:jc w:val="both"/>
        <w:rPr>
          <w:rFonts w:ascii="Verdana" w:hAnsi="Verdana" w:cstheme="minorHAnsi"/>
          <w:b/>
          <w:bCs/>
          <w:caps/>
          <w:color w:val="066A74"/>
        </w:rPr>
      </w:pPr>
      <w:r w:rsidRPr="007D74C2">
        <w:rPr>
          <w:rFonts w:ascii="Verdana" w:hAnsi="Verdana" w:cstheme="minorHAnsi"/>
          <w:b/>
          <w:bCs/>
          <w:caps/>
          <w:color w:val="066A74"/>
        </w:rPr>
        <w:t>Наша структура:</w:t>
      </w:r>
    </w:p>
    <w:p w14:paraId="182D53B2" w14:textId="77777777" w:rsidR="009A198B" w:rsidRPr="009A198B" w:rsidRDefault="009A198B" w:rsidP="009A198B">
      <w:pPr>
        <w:spacing w:after="0" w:line="240" w:lineRule="auto"/>
        <w:ind w:firstLine="708"/>
        <w:jc w:val="both"/>
        <w:rPr>
          <w:rFonts w:ascii="Verdana" w:hAnsi="Verdana"/>
        </w:rPr>
      </w:pPr>
      <w:r w:rsidRPr="009A198B">
        <w:rPr>
          <w:rFonts w:ascii="Verdana" w:hAnsi="Verdana"/>
        </w:rPr>
        <w:t>12 стаціонарних відділень, відділення анестезіології та інтенсивної терапії для новонароджених та дітей, паліативна служба, виїзні бригади (неонатальна та мобільна паліативна),  стаціонарна та амбулаторна, в т.ч. рання реабілітація, консультативна поліклініка, діагностичні підрозділи та спеціалізовані центри (Центр орфанних захворювань, реабілітаційний центр «Турбота», цілодобовий дитячий травматологічний пункт (травма центр), Клініка дружня до молоді), раннє втручання та катамнестичне спостереження.</w:t>
      </w:r>
    </w:p>
    <w:p w14:paraId="1650C2BB" w14:textId="77777777" w:rsidR="009A198B" w:rsidRDefault="009A198B" w:rsidP="009A198B">
      <w:pPr>
        <w:spacing w:after="0" w:line="240" w:lineRule="auto"/>
        <w:ind w:firstLine="360"/>
        <w:jc w:val="both"/>
        <w:rPr>
          <w:rFonts w:ascii="Verdana" w:hAnsi="Verdana" w:cstheme="minorHAnsi"/>
          <w:b/>
          <w:bCs/>
          <w:caps/>
          <w:color w:val="09AEBF"/>
        </w:rPr>
      </w:pPr>
    </w:p>
    <w:p w14:paraId="1DF0898A" w14:textId="01182504" w:rsidR="009A198B" w:rsidRPr="007D74C2" w:rsidRDefault="009A198B" w:rsidP="009A198B">
      <w:pPr>
        <w:spacing w:after="0" w:line="240" w:lineRule="auto"/>
        <w:ind w:firstLine="360"/>
        <w:jc w:val="both"/>
        <w:rPr>
          <w:rFonts w:ascii="Verdana" w:hAnsi="Verdana" w:cstheme="minorHAnsi"/>
          <w:b/>
          <w:bCs/>
          <w:caps/>
          <w:color w:val="066A74"/>
        </w:rPr>
      </w:pPr>
      <w:r w:rsidRPr="007D74C2">
        <w:rPr>
          <w:rFonts w:ascii="Verdana" w:hAnsi="Verdana" w:cstheme="minorHAnsi"/>
          <w:b/>
          <w:bCs/>
          <w:caps/>
          <w:color w:val="066A74"/>
        </w:rPr>
        <w:t>Наші спеціальності:</w:t>
      </w:r>
    </w:p>
    <w:p w14:paraId="2FD93D9D" w14:textId="77777777" w:rsidR="009A198B" w:rsidRPr="009A198B" w:rsidRDefault="009A198B" w:rsidP="009A198B">
      <w:pPr>
        <w:spacing w:after="0" w:line="240" w:lineRule="auto"/>
        <w:ind w:firstLine="360"/>
        <w:jc w:val="both"/>
        <w:rPr>
          <w:rFonts w:ascii="Verdana" w:hAnsi="Verdana"/>
        </w:rPr>
      </w:pPr>
      <w:r w:rsidRPr="009A198B">
        <w:rPr>
          <w:rFonts w:ascii="Verdana" w:hAnsi="Verdana"/>
        </w:rPr>
        <w:t>дитяча алергологія, дитяча анестезіологія, дитяча гастроентерологія, дитяча дерматовенерологія, дитяча ендокринологія, ендоскопія, дитяча офтальмологія, дитяча кардіоревматологія, рентгенологія, дитяча хірургія, дитяча неврологія, дитяча нефрологія, дитяча ортопедія і травматологія, дитяча урологія, фізична та реабілітаційна медицина, функціональна діагностика, дитяча отоларингологія, клінічна лабораторна діагностика, бактеріологія, ультразвукова діагностика, фізична терапія,  ерготерапія, дитяча імунологія, дитяча онкологія, дитяча стоматологія, хірургічна стоматологія, ортодонтія, неонатологія,  педіатрія,  торакальна хірургія, клінічна біохімія, сурдологія, дитяча гематологія, дієтологія, епідеміологія, дитяча нейрохірургія, дитяча гінекологія, медична генетика, дитячі інфекційні хвороби, комбустіологія, дитяча фтизіатрія.</w:t>
      </w:r>
    </w:p>
    <w:p w14:paraId="01B7BE9C" w14:textId="77777777" w:rsidR="009A198B" w:rsidRDefault="009A198B" w:rsidP="009A198B">
      <w:pPr>
        <w:spacing w:after="0" w:line="240" w:lineRule="auto"/>
        <w:ind w:firstLine="360"/>
        <w:jc w:val="both"/>
        <w:rPr>
          <w:rFonts w:ascii="Verdana" w:hAnsi="Verdana" w:cstheme="minorHAnsi"/>
          <w:b/>
          <w:bCs/>
          <w:caps/>
          <w:color w:val="09AEBF"/>
        </w:rPr>
      </w:pPr>
    </w:p>
    <w:p w14:paraId="3C1D78A4" w14:textId="48EB30B0" w:rsidR="009A198B" w:rsidRPr="007D74C2" w:rsidRDefault="009A198B" w:rsidP="009A198B">
      <w:pPr>
        <w:spacing w:after="0" w:line="240" w:lineRule="auto"/>
        <w:ind w:firstLine="360"/>
        <w:jc w:val="both"/>
        <w:rPr>
          <w:rFonts w:ascii="Verdana" w:hAnsi="Verdana" w:cstheme="minorHAnsi"/>
          <w:b/>
          <w:bCs/>
          <w:caps/>
          <w:color w:val="066A74"/>
        </w:rPr>
      </w:pPr>
      <w:r w:rsidRPr="007D74C2">
        <w:rPr>
          <w:rFonts w:ascii="Verdana" w:hAnsi="Verdana" w:cstheme="minorHAnsi"/>
          <w:b/>
          <w:bCs/>
          <w:caps/>
          <w:color w:val="066A74"/>
        </w:rPr>
        <w:t>Щорічно:</w:t>
      </w:r>
    </w:p>
    <w:p w14:paraId="51AA05CB" w14:textId="77777777" w:rsidR="009A198B" w:rsidRPr="009A198B" w:rsidRDefault="009A198B" w:rsidP="009A198B">
      <w:pPr>
        <w:pStyle w:val="a8"/>
        <w:numPr>
          <w:ilvl w:val="0"/>
          <w:numId w:val="3"/>
        </w:numPr>
        <w:spacing w:after="0" w:line="240" w:lineRule="auto"/>
        <w:jc w:val="both"/>
        <w:rPr>
          <w:rFonts w:ascii="Verdana" w:hAnsi="Verdana"/>
        </w:rPr>
      </w:pPr>
      <w:r w:rsidRPr="009A198B">
        <w:rPr>
          <w:rFonts w:ascii="Verdana" w:hAnsi="Verdana"/>
        </w:rPr>
        <w:t>Понад 250 тис. відвідувань поліклініки;</w:t>
      </w:r>
    </w:p>
    <w:p w14:paraId="02AD0AE6" w14:textId="77777777" w:rsidR="009A198B" w:rsidRPr="009A198B" w:rsidRDefault="009A198B" w:rsidP="009A198B">
      <w:pPr>
        <w:pStyle w:val="a8"/>
        <w:numPr>
          <w:ilvl w:val="0"/>
          <w:numId w:val="3"/>
        </w:numPr>
        <w:spacing w:after="0" w:line="240" w:lineRule="auto"/>
        <w:jc w:val="both"/>
        <w:rPr>
          <w:rFonts w:ascii="Verdana" w:hAnsi="Verdana"/>
        </w:rPr>
      </w:pPr>
      <w:r w:rsidRPr="009A198B">
        <w:rPr>
          <w:rFonts w:ascii="Verdana" w:hAnsi="Verdana"/>
        </w:rPr>
        <w:t>Більше 10 тис. дітей отримують стаціонарне лікування;</w:t>
      </w:r>
    </w:p>
    <w:p w14:paraId="4387DE57" w14:textId="5575FAC5" w:rsidR="009A198B" w:rsidRDefault="009A198B" w:rsidP="009A198B">
      <w:pPr>
        <w:pStyle w:val="a8"/>
        <w:numPr>
          <w:ilvl w:val="0"/>
          <w:numId w:val="3"/>
        </w:numPr>
        <w:spacing w:after="0" w:line="240" w:lineRule="auto"/>
        <w:jc w:val="both"/>
        <w:rPr>
          <w:rFonts w:ascii="Verdana" w:hAnsi="Verdana"/>
        </w:rPr>
      </w:pPr>
      <w:r w:rsidRPr="009A198B">
        <w:rPr>
          <w:rFonts w:ascii="Verdana" w:hAnsi="Verdana"/>
        </w:rPr>
        <w:t>Понад 3000 хірургічних втручань.</w:t>
      </w:r>
    </w:p>
    <w:p w14:paraId="2A223FA5" w14:textId="77777777" w:rsidR="00075533" w:rsidRPr="009A198B" w:rsidRDefault="00075533" w:rsidP="00075533">
      <w:pPr>
        <w:pStyle w:val="a8"/>
        <w:spacing w:after="0" w:line="240" w:lineRule="auto"/>
        <w:jc w:val="both"/>
        <w:rPr>
          <w:rFonts w:ascii="Verdana" w:hAnsi="Verdana"/>
        </w:rPr>
      </w:pPr>
    </w:p>
    <w:p w14:paraId="4E697FB5" w14:textId="77777777" w:rsidR="009A198B" w:rsidRPr="009A198B" w:rsidRDefault="009A198B" w:rsidP="009A198B">
      <w:pPr>
        <w:spacing w:after="0" w:line="240" w:lineRule="auto"/>
        <w:ind w:firstLine="708"/>
        <w:jc w:val="both"/>
        <w:rPr>
          <w:rFonts w:ascii="Verdana" w:hAnsi="Verdana"/>
        </w:rPr>
      </w:pPr>
      <w:r w:rsidRPr="009A198B">
        <w:rPr>
          <w:rFonts w:ascii="Verdana" w:hAnsi="Verdana"/>
        </w:rPr>
        <w:t>У лікарні надається спеціалізована невідкладна та планова хірургічна (в т.ч. нейрохірургічна), терапевтична допомога, допомога новонародженим (в т.ч. неонатальна хірургія), фізична реабілітація та стоматологічна допомога.</w:t>
      </w:r>
    </w:p>
    <w:p w14:paraId="405513E7" w14:textId="77777777" w:rsidR="009A198B" w:rsidRPr="009A198B" w:rsidRDefault="009A198B" w:rsidP="009A198B">
      <w:pPr>
        <w:spacing w:after="0" w:line="240" w:lineRule="auto"/>
        <w:ind w:firstLine="709"/>
        <w:jc w:val="both"/>
        <w:rPr>
          <w:rFonts w:ascii="Verdana" w:hAnsi="Verdana"/>
        </w:rPr>
      </w:pPr>
      <w:r w:rsidRPr="009A198B">
        <w:rPr>
          <w:rFonts w:ascii="Verdana" w:hAnsi="Verdana"/>
        </w:rPr>
        <w:t xml:space="preserve">Щороку в КП «ХМДЛ» у відділені анестезіології та інтенсивної терапії новонароджених  та у неонатальному відділенні </w:t>
      </w:r>
      <w:r w:rsidRPr="009A198B">
        <w:rPr>
          <w:rFonts w:ascii="Verdana" w:hAnsi="Verdana"/>
          <w:b/>
          <w:bCs/>
        </w:rPr>
        <w:t>отримують допомогу</w:t>
      </w:r>
      <w:r w:rsidRPr="009A198B">
        <w:rPr>
          <w:rFonts w:ascii="Verdana" w:hAnsi="Verdana"/>
        </w:rPr>
        <w:t xml:space="preserve"> </w:t>
      </w:r>
      <w:r w:rsidRPr="009A198B">
        <w:rPr>
          <w:rFonts w:ascii="Verdana" w:hAnsi="Verdana"/>
          <w:b/>
          <w:bCs/>
        </w:rPr>
        <w:t>близько 1000 немовлят</w:t>
      </w:r>
      <w:r w:rsidRPr="009A198B">
        <w:rPr>
          <w:rFonts w:ascii="Verdana" w:hAnsi="Verdana"/>
        </w:rPr>
        <w:t xml:space="preserve">, що робить нас одними з найдосвідченіших у регіоні. Необхідне лікування та обстеження отримують новонароджені з екстремально низькою вагою (до 1000 гр.) та дуже низькою вагою (до 1500 гр.) тіла. </w:t>
      </w:r>
    </w:p>
    <w:p w14:paraId="1AE953E5" w14:textId="77777777" w:rsidR="009A198B" w:rsidRPr="009A198B" w:rsidRDefault="009A198B" w:rsidP="009A198B">
      <w:pPr>
        <w:spacing w:after="0" w:line="240" w:lineRule="auto"/>
        <w:ind w:firstLine="709"/>
        <w:jc w:val="both"/>
        <w:rPr>
          <w:rFonts w:ascii="Verdana" w:hAnsi="Verdana"/>
        </w:rPr>
      </w:pPr>
      <w:r w:rsidRPr="009A198B">
        <w:rPr>
          <w:rFonts w:ascii="Verdana" w:hAnsi="Verdana"/>
        </w:rPr>
        <w:t>Ми надаємо повний спектр реабілітаційної допомоги дітям (амбулаторна, стаціонарна та рання реабілітація передчасно народжених немовлят та дітей до трьох років) та одними з перших в Хмельницькій області почали надавати паліативну допомогу дітям (мобільна паліативна бригада да стаціонарне відділення паліативної допомоги). Значною частиною наших пацієнтів є діти з орфанними захворюваннями і їх кількість невпинно зростає. Паліативна служба працює у тісній співпраці із нашим Орфанним центром, який у травні 2024 року був офіційно включений до мережі референтних центрів з питань рідкісних (орфанних) захворювань за такими напрямками як Spina Bifida, спінальна м'язова атрофія, туберозний склероз, м'язова дистрофія Дюшена, хвороба Вільсона та інші захворювання. Нашими пацієнтами є діти не лише з міста Хмельницького,  Хмельницької області та суміжних областей, а також діти та дорослі з усієї України, зокрема, зі спінальною м'язовою атрофією, оскільки ми є одним і з перших і небагатьох в Україні закладів, в  якому доступне лікування СМА шляхом введення препаратів Спінраза та Еврісді (Рісдіплам).</w:t>
      </w:r>
    </w:p>
    <w:p w14:paraId="04443CE8" w14:textId="77777777" w:rsidR="009A198B" w:rsidRPr="009A198B" w:rsidRDefault="009A198B" w:rsidP="009A198B">
      <w:pPr>
        <w:spacing w:after="0" w:line="240" w:lineRule="auto"/>
        <w:ind w:firstLine="709"/>
        <w:jc w:val="both"/>
        <w:rPr>
          <w:rFonts w:ascii="Verdana" w:hAnsi="Verdana"/>
        </w:rPr>
      </w:pPr>
      <w:r w:rsidRPr="009A198B">
        <w:rPr>
          <w:rFonts w:ascii="Verdana" w:hAnsi="Verdana"/>
        </w:rPr>
        <w:t>Ми активно співпрацюємо з громадськими та іншими організаціями, щоб розширити можливості підтримки, обмінюватися досвідом і надавати необхідну допомогу тим, хто цього потребує.</w:t>
      </w:r>
    </w:p>
    <w:p w14:paraId="3B6A4190" w14:textId="76620348" w:rsidR="0067539F" w:rsidRPr="009A198B" w:rsidRDefault="0067539F" w:rsidP="009A198B">
      <w:pPr>
        <w:spacing w:after="0" w:line="240" w:lineRule="auto"/>
        <w:ind w:hanging="142"/>
        <w:rPr>
          <w:rFonts w:ascii="Verdana" w:hAnsi="Verdana" w:cs="Times New Roman"/>
          <w:b/>
          <w:bCs/>
        </w:rPr>
      </w:pPr>
    </w:p>
    <w:p w14:paraId="6B41F255"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НОВОВВЕДЕННЯ, ЗМІНИ, ЗДОБУТКИ</w:t>
      </w:r>
    </w:p>
    <w:p w14:paraId="5BFA8570" w14:textId="77777777" w:rsidR="0067539F" w:rsidRPr="0067539F" w:rsidRDefault="0067539F" w:rsidP="009A198B">
      <w:pPr>
        <w:numPr>
          <w:ilvl w:val="0"/>
          <w:numId w:val="14"/>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b/>
          <w:bCs/>
          <w:lang w:eastAsia="ru-RU"/>
        </w:rPr>
        <w:t>Завершення реконструкції</w:t>
      </w:r>
      <w:r w:rsidRPr="0067539F">
        <w:rPr>
          <w:rFonts w:ascii="Verdana" w:eastAsia="Calibri" w:hAnsi="Verdana" w:cs="Times New Roman"/>
          <w:lang w:eastAsia="ru-RU"/>
        </w:rPr>
        <w:t xml:space="preserve"> відділення невідкладної допомоги та травмпункту зі створенням на основі об’єднаного простору травма центру, оснащення відділень інтенсивної терапії, ургентної операційної, забезпечення можливості для встановлення та проведення КТ та МРТ в закладі. Враховані сучасні вимоги до обладнання і комфорту, що забезпечило високий рівень медичного обслуговування для маленьких пацієнтів.</w:t>
      </w:r>
    </w:p>
    <w:p w14:paraId="34DDFC85" w14:textId="77777777" w:rsidR="0067539F" w:rsidRPr="0067539F" w:rsidRDefault="0067539F" w:rsidP="009A198B">
      <w:pPr>
        <w:numPr>
          <w:ilvl w:val="0"/>
          <w:numId w:val="14"/>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lang w:eastAsia="ru-RU"/>
        </w:rPr>
        <w:t>Покращення умов перебування пацієнтів.</w:t>
      </w:r>
    </w:p>
    <w:p w14:paraId="432D4432" w14:textId="77777777" w:rsidR="0067539F" w:rsidRPr="0067539F" w:rsidRDefault="0067539F" w:rsidP="009A198B">
      <w:pPr>
        <w:numPr>
          <w:ilvl w:val="0"/>
          <w:numId w:val="14"/>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b/>
          <w:bCs/>
          <w:lang w:eastAsia="ru-RU"/>
        </w:rPr>
        <w:t>Центр орфанних захворювань КП «ХМДЛ»</w:t>
      </w:r>
      <w:r w:rsidRPr="0067539F">
        <w:rPr>
          <w:rFonts w:ascii="Verdana" w:eastAsia="Calibri" w:hAnsi="Verdana" w:cs="Times New Roman"/>
          <w:lang w:eastAsia="ru-RU"/>
        </w:rPr>
        <w:t xml:space="preserve"> у травні 2024 року офіційно включено до мережі референтних центрів з питань рідкісних (орфанних) захворювань МОЗ за напрямками «Spina Bifida», «спінальна м'язова атрофія», «туберозний склероз», «м'язова дистрофія Дюшена», «хвороба Вільсона».</w:t>
      </w:r>
    </w:p>
    <w:p w14:paraId="3A9E0FC0" w14:textId="77777777" w:rsidR="0067539F" w:rsidRPr="0067539F" w:rsidRDefault="0067539F" w:rsidP="009A198B">
      <w:pPr>
        <w:numPr>
          <w:ilvl w:val="0"/>
          <w:numId w:val="15"/>
        </w:numPr>
        <w:suppressAutoHyphens/>
        <w:spacing w:after="0" w:line="240" w:lineRule="auto"/>
        <w:ind w:left="709" w:right="142"/>
        <w:contextualSpacing/>
        <w:jc w:val="both"/>
        <w:rPr>
          <w:rFonts w:ascii="Verdana" w:eastAsia="Calibri" w:hAnsi="Verdana" w:cs="Times New Roman"/>
          <w:b/>
          <w:bCs/>
          <w:lang w:eastAsia="ru-RU"/>
        </w:rPr>
      </w:pPr>
      <w:r w:rsidRPr="0067539F">
        <w:rPr>
          <w:rFonts w:ascii="Verdana" w:eastAsia="Calibri" w:hAnsi="Verdana" w:cs="Times New Roman"/>
          <w:b/>
          <w:bCs/>
          <w:lang w:eastAsia="ru-RU"/>
        </w:rPr>
        <w:t xml:space="preserve">Статус «Чиста лікарня безпечна для пацієнта» </w:t>
      </w:r>
      <w:r w:rsidRPr="0067539F">
        <w:rPr>
          <w:rFonts w:ascii="Verdana" w:eastAsia="Calibri" w:hAnsi="Verdana" w:cs="Times New Roman"/>
          <w:lang w:eastAsia="ru-RU"/>
        </w:rPr>
        <w:t>асоціації "Служба організації інфекційного контролю":</w:t>
      </w:r>
    </w:p>
    <w:p w14:paraId="5CCF0D91" w14:textId="77777777" w:rsidR="0067539F" w:rsidRPr="0067539F" w:rsidRDefault="0067539F" w:rsidP="009A198B">
      <w:pPr>
        <w:suppressAutoHyphens/>
        <w:spacing w:after="0" w:line="240" w:lineRule="auto"/>
        <w:ind w:left="709" w:right="142"/>
        <w:jc w:val="both"/>
        <w:rPr>
          <w:rFonts w:ascii="Verdana" w:eastAsia="Times New Roman" w:hAnsi="Verdana" w:cs="Times New Roman"/>
          <w:lang w:eastAsia="ar-SA"/>
        </w:rPr>
      </w:pPr>
      <w:r w:rsidRPr="0067539F">
        <w:rPr>
          <w:rFonts w:ascii="Segoe UI Emoji" w:eastAsia="Times New Roman" w:hAnsi="Segoe UI Emoji" w:cs="Segoe UI Emoji"/>
          <w:lang w:eastAsia="ar-SA"/>
        </w:rPr>
        <w:t>✅</w:t>
      </w:r>
      <w:r w:rsidRPr="0067539F">
        <w:rPr>
          <w:rFonts w:ascii="Verdana" w:eastAsia="Times New Roman" w:hAnsi="Verdana" w:cs="Times New Roman"/>
          <w:lang w:eastAsia="ar-SA"/>
        </w:rPr>
        <w:t xml:space="preserve"> відділення анестезіології та інтенсивної терапії;</w:t>
      </w:r>
    </w:p>
    <w:p w14:paraId="0E486532" w14:textId="77777777" w:rsidR="0067539F" w:rsidRPr="0067539F" w:rsidRDefault="0067539F" w:rsidP="009A198B">
      <w:pPr>
        <w:suppressAutoHyphens/>
        <w:spacing w:after="0" w:line="240" w:lineRule="auto"/>
        <w:ind w:left="709" w:right="142"/>
        <w:jc w:val="both"/>
        <w:rPr>
          <w:rFonts w:ascii="Verdana" w:eastAsia="Times New Roman" w:hAnsi="Verdana" w:cs="Times New Roman"/>
          <w:lang w:eastAsia="ar-SA"/>
        </w:rPr>
      </w:pPr>
      <w:r w:rsidRPr="0067539F">
        <w:rPr>
          <w:rFonts w:ascii="Segoe UI Emoji" w:eastAsia="Times New Roman" w:hAnsi="Segoe UI Emoji" w:cs="Segoe UI Emoji"/>
          <w:lang w:eastAsia="ar-SA"/>
        </w:rPr>
        <w:t>✅</w:t>
      </w:r>
      <w:r w:rsidRPr="0067539F">
        <w:rPr>
          <w:rFonts w:ascii="Verdana" w:eastAsia="Times New Roman" w:hAnsi="Verdana" w:cs="Times New Roman"/>
          <w:lang w:eastAsia="ar-SA"/>
        </w:rPr>
        <w:t xml:space="preserve"> відділення паліативної допомоги;</w:t>
      </w:r>
    </w:p>
    <w:p w14:paraId="0A5EE9C3" w14:textId="77777777" w:rsidR="0067539F" w:rsidRPr="0067539F" w:rsidRDefault="0067539F" w:rsidP="009A198B">
      <w:pPr>
        <w:suppressAutoHyphens/>
        <w:spacing w:after="0" w:line="240" w:lineRule="auto"/>
        <w:ind w:left="709" w:right="142"/>
        <w:jc w:val="both"/>
        <w:rPr>
          <w:rFonts w:ascii="Verdana" w:eastAsia="Times New Roman" w:hAnsi="Verdana" w:cs="Times New Roman"/>
          <w:lang w:eastAsia="ar-SA"/>
        </w:rPr>
      </w:pPr>
      <w:r w:rsidRPr="0067539F">
        <w:rPr>
          <w:rFonts w:ascii="Segoe UI Emoji" w:eastAsia="Times New Roman" w:hAnsi="Segoe UI Emoji" w:cs="Segoe UI Emoji"/>
          <w:lang w:eastAsia="ar-SA"/>
        </w:rPr>
        <w:t>✅</w:t>
      </w:r>
      <w:r w:rsidRPr="0067539F">
        <w:rPr>
          <w:rFonts w:ascii="Verdana" w:eastAsia="Times New Roman" w:hAnsi="Verdana" w:cs="Times New Roman"/>
          <w:lang w:eastAsia="ar-SA"/>
        </w:rPr>
        <w:t xml:space="preserve"> цілодобовий травматологічний пункт;</w:t>
      </w:r>
    </w:p>
    <w:p w14:paraId="763A92F6" w14:textId="77777777" w:rsidR="0067539F" w:rsidRPr="0067539F" w:rsidRDefault="0067539F" w:rsidP="009A198B">
      <w:pPr>
        <w:suppressAutoHyphens/>
        <w:spacing w:after="0" w:line="240" w:lineRule="auto"/>
        <w:ind w:left="709" w:right="142"/>
        <w:jc w:val="both"/>
        <w:rPr>
          <w:rFonts w:ascii="Verdana" w:eastAsia="Times New Roman" w:hAnsi="Verdana" w:cs="Times New Roman"/>
          <w:lang w:eastAsia="ar-SA"/>
        </w:rPr>
      </w:pPr>
      <w:r w:rsidRPr="0067539F">
        <w:rPr>
          <w:rFonts w:ascii="Segoe UI Emoji" w:eastAsia="Times New Roman" w:hAnsi="Segoe UI Emoji" w:cs="Segoe UI Emoji"/>
          <w:lang w:eastAsia="ar-SA"/>
        </w:rPr>
        <w:t>✅</w:t>
      </w:r>
      <w:r w:rsidRPr="0067539F">
        <w:rPr>
          <w:rFonts w:ascii="Verdana" w:eastAsia="Times New Roman" w:hAnsi="Verdana" w:cs="Times New Roman"/>
          <w:lang w:eastAsia="ar-SA"/>
        </w:rPr>
        <w:t xml:space="preserve"> відділення невідкладної допомоги.</w:t>
      </w:r>
    </w:p>
    <w:p w14:paraId="4024DF41" w14:textId="77777777" w:rsidR="0067539F" w:rsidRPr="0067539F" w:rsidRDefault="0067539F" w:rsidP="009A198B">
      <w:pPr>
        <w:spacing w:after="0" w:line="240" w:lineRule="auto"/>
        <w:ind w:left="1776" w:right="142"/>
        <w:contextualSpacing/>
        <w:jc w:val="both"/>
        <w:rPr>
          <w:rFonts w:ascii="Verdana" w:eastAsia="Calibri" w:hAnsi="Verdana" w:cs="Times New Roman"/>
          <w:lang w:eastAsia="ru-RU"/>
        </w:rPr>
      </w:pPr>
    </w:p>
    <w:p w14:paraId="61958C10"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ПОСИЛЕННЯ КАДРОВОЇ СКЛАДОВОЇ</w:t>
      </w:r>
    </w:p>
    <w:p w14:paraId="412B3EA5"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lang w:eastAsia="ar-SA"/>
        </w:rPr>
        <w:t>Підготовлено спеціаліста з комбустіології та додаткових спеціалістів із фізичної та реабілітаційної медицини та паліативної допомоги.</w:t>
      </w:r>
    </w:p>
    <w:p w14:paraId="330F0AF2"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color w:val="09AEBF"/>
          <w:lang w:eastAsia="ar-SA"/>
        </w:rPr>
      </w:pPr>
    </w:p>
    <w:p w14:paraId="6323B8EF"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РОЗШИРЕННЯ ПЕРЕЛІКУ та СПЕКТРУ ПОСЛУГ</w:t>
      </w:r>
    </w:p>
    <w:p w14:paraId="6C7A8C8D" w14:textId="77777777"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Кардіохірургія (спільно з Інститутом Серця МОЗ України та командою ЦДККХ НДСЛ «Охматдит»)</w:t>
      </w:r>
    </w:p>
    <w:p w14:paraId="346EF45C" w14:textId="77777777"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Торакальна хірургія</w:t>
      </w:r>
    </w:p>
    <w:p w14:paraId="1FA14012" w14:textId="77777777"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Реконструктивні пластичні операції дітям із вадами розвитку піднебіння (з НДСЛ «Охматдит»)</w:t>
      </w:r>
    </w:p>
    <w:p w14:paraId="0823B36E" w14:textId="77777777"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Комбустіологія</w:t>
      </w:r>
    </w:p>
    <w:p w14:paraId="5CA741F9" w14:textId="77777777"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Спірографія</w:t>
      </w:r>
    </w:p>
    <w:p w14:paraId="179AE472" w14:textId="1EE14082" w:rsidR="0067539F" w:rsidRPr="009A198B" w:rsidRDefault="0067539F" w:rsidP="00075533">
      <w:pPr>
        <w:pStyle w:val="a8"/>
        <w:numPr>
          <w:ilvl w:val="0"/>
          <w:numId w:val="26"/>
        </w:numPr>
        <w:suppressAutoHyphens/>
        <w:spacing w:after="0" w:line="240" w:lineRule="auto"/>
        <w:ind w:left="709" w:right="142"/>
        <w:jc w:val="both"/>
        <w:rPr>
          <w:rFonts w:ascii="Verdana" w:eastAsia="Times New Roman" w:hAnsi="Verdana" w:cs="Times New Roman"/>
          <w:lang w:eastAsia="ar-SA"/>
        </w:rPr>
      </w:pPr>
      <w:r w:rsidRPr="009A198B">
        <w:rPr>
          <w:rFonts w:ascii="Verdana" w:eastAsia="Times New Roman" w:hAnsi="Verdana" w:cs="Times New Roman"/>
          <w:lang w:eastAsia="ar-SA"/>
        </w:rPr>
        <w:t>Лікування спинальної м’язової атрофії (СМА) шляхом введення дороговартісних препаратів Спінраза та Еврісді (Рісдіплам) дитячим та дорослим пацієнтам з міста Хмельницького, Хмельницької області, суміжних областей та інших областей України.</w:t>
      </w:r>
    </w:p>
    <w:p w14:paraId="2C3AADFA"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color w:val="09AEBF"/>
          <w:lang w:eastAsia="ar-SA"/>
        </w:rPr>
      </w:pPr>
    </w:p>
    <w:p w14:paraId="62310B03"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9AEBF"/>
          <w:lang w:eastAsia="ar-SA"/>
        </w:rPr>
      </w:pPr>
      <w:r w:rsidRPr="0067539F">
        <w:rPr>
          <w:rFonts w:ascii="Verdana" w:eastAsia="Times New Roman" w:hAnsi="Verdana" w:cs="Times New Roman"/>
          <w:b/>
          <w:bCs/>
          <w:color w:val="066A74"/>
          <w:lang w:eastAsia="ar-SA"/>
        </w:rPr>
        <w:t>СПІВПРАЦЯ З ІНШИМИ ЗОЗ</w:t>
      </w:r>
    </w:p>
    <w:p w14:paraId="0E805EF7" w14:textId="77777777" w:rsidR="0067539F" w:rsidRPr="0067539F" w:rsidRDefault="0067539F" w:rsidP="009A198B">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Спільно з командою ЦДККХ НДСЛ «Охматдит»:</w:t>
      </w:r>
    </w:p>
    <w:p w14:paraId="6DC7DA48" w14:textId="77777777" w:rsidR="0067539F" w:rsidRPr="0067539F" w:rsidRDefault="0067539F" w:rsidP="00075533">
      <w:pPr>
        <w:numPr>
          <w:ilvl w:val="0"/>
          <w:numId w:val="27"/>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lang w:eastAsia="ru-RU"/>
        </w:rPr>
        <w:t xml:space="preserve">проведено кардіохірургічні втручання дітям з патологією серця і судин; </w:t>
      </w:r>
    </w:p>
    <w:p w14:paraId="270DF0F9" w14:textId="77777777" w:rsidR="0067539F" w:rsidRPr="0067539F" w:rsidRDefault="0067539F" w:rsidP="00075533">
      <w:pPr>
        <w:numPr>
          <w:ilvl w:val="0"/>
          <w:numId w:val="27"/>
        </w:numPr>
        <w:suppressAutoHyphens/>
        <w:spacing w:after="0" w:line="240" w:lineRule="auto"/>
        <w:ind w:left="709"/>
        <w:contextualSpacing/>
        <w:rPr>
          <w:rFonts w:ascii="Verdana" w:eastAsia="Calibri" w:hAnsi="Verdana" w:cs="Times New Roman"/>
          <w:lang w:eastAsia="ru-RU"/>
        </w:rPr>
      </w:pPr>
      <w:r w:rsidRPr="0067539F">
        <w:rPr>
          <w:rFonts w:ascii="Verdana" w:eastAsia="Calibri" w:hAnsi="Verdana" w:cs="Times New Roman"/>
          <w:lang w:eastAsia="ru-RU"/>
        </w:rPr>
        <w:t xml:space="preserve">понад 100 дітей пройшли діагностичне обстеження, оглянуті кардіохірургом та отримали консультативну допомогу. Частина із них було направлено на додаткове обстеження та хірургічне лікування в м. Київ. </w:t>
      </w:r>
    </w:p>
    <w:p w14:paraId="25980BF1" w14:textId="42747944" w:rsidR="0067539F" w:rsidRPr="009A198B" w:rsidRDefault="0067539F"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185431B5" w14:textId="4589A598" w:rsidR="0067539F" w:rsidRPr="007D74C2"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7D74C2">
        <w:rPr>
          <w:rFonts w:ascii="Verdana" w:eastAsia="Times New Roman" w:hAnsi="Verdana" w:cs="Times New Roman"/>
          <w:b/>
          <w:bCs/>
          <w:color w:val="066A74"/>
          <w:lang w:eastAsia="ar-SA"/>
        </w:rPr>
        <w:t>ОСНОВНІ ФІНАНСОВІ РЕЗУЛЬТАТИ (доходи)</w:t>
      </w:r>
    </w:p>
    <w:tbl>
      <w:tblPr>
        <w:tblW w:w="10632" w:type="dxa"/>
        <w:tblInd w:w="-567" w:type="dxa"/>
        <w:tblCellMar>
          <w:left w:w="0" w:type="dxa"/>
          <w:right w:w="0" w:type="dxa"/>
        </w:tblCellMar>
        <w:tblLook w:val="04A0" w:firstRow="1" w:lastRow="0" w:firstColumn="1" w:lastColumn="0" w:noHBand="0" w:noVBand="1"/>
      </w:tblPr>
      <w:tblGrid>
        <w:gridCol w:w="2258"/>
        <w:gridCol w:w="1497"/>
        <w:gridCol w:w="1349"/>
        <w:gridCol w:w="1489"/>
        <w:gridCol w:w="4039"/>
      </w:tblGrid>
      <w:tr w:rsidR="00075533" w:rsidRPr="0067539F" w14:paraId="3D2F0A04" w14:textId="77777777" w:rsidTr="00EA3256">
        <w:trPr>
          <w:trHeight w:val="813"/>
        </w:trPr>
        <w:tc>
          <w:tcPr>
            <w:tcW w:w="2258" w:type="dxa"/>
            <w:tcBorders>
              <w:top w:val="nil"/>
              <w:left w:val="nil"/>
              <w:bottom w:val="nil"/>
              <w:right w:val="nil"/>
            </w:tcBorders>
            <w:shd w:val="clear" w:color="auto" w:fill="EB4747"/>
            <w:tcMar>
              <w:top w:w="15" w:type="dxa"/>
              <w:left w:w="40" w:type="dxa"/>
              <w:bottom w:w="0" w:type="dxa"/>
              <w:right w:w="40" w:type="dxa"/>
            </w:tcMar>
            <w:vAlign w:val="center"/>
            <w:hideMark/>
          </w:tcPr>
          <w:p w14:paraId="56A00D4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 Джерело доходу</w:t>
            </w:r>
          </w:p>
        </w:tc>
        <w:tc>
          <w:tcPr>
            <w:tcW w:w="1497" w:type="dxa"/>
            <w:tcBorders>
              <w:top w:val="nil"/>
              <w:left w:val="nil"/>
              <w:bottom w:val="nil"/>
              <w:right w:val="nil"/>
            </w:tcBorders>
            <w:shd w:val="clear" w:color="auto" w:fill="EB4747"/>
            <w:tcMar>
              <w:top w:w="15" w:type="dxa"/>
              <w:left w:w="40" w:type="dxa"/>
              <w:bottom w:w="0" w:type="dxa"/>
              <w:right w:w="40" w:type="dxa"/>
            </w:tcMar>
            <w:vAlign w:val="center"/>
            <w:hideMark/>
          </w:tcPr>
          <w:p w14:paraId="552A1D6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Факт</w:t>
            </w:r>
          </w:p>
          <w:p w14:paraId="4BB6021B"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2023 р., тис. грн</w:t>
            </w:r>
          </w:p>
        </w:tc>
        <w:tc>
          <w:tcPr>
            <w:tcW w:w="1349" w:type="dxa"/>
            <w:tcBorders>
              <w:top w:val="nil"/>
              <w:left w:val="nil"/>
              <w:bottom w:val="nil"/>
              <w:right w:val="nil"/>
            </w:tcBorders>
            <w:shd w:val="clear" w:color="auto" w:fill="EB4747"/>
            <w:tcMar>
              <w:top w:w="15" w:type="dxa"/>
              <w:left w:w="40" w:type="dxa"/>
              <w:bottom w:w="0" w:type="dxa"/>
              <w:right w:w="40" w:type="dxa"/>
            </w:tcMar>
            <w:vAlign w:val="center"/>
            <w:hideMark/>
          </w:tcPr>
          <w:p w14:paraId="207BA6EB"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Факт</w:t>
            </w:r>
          </w:p>
          <w:p w14:paraId="42BF486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2024 р., тис. грн</w:t>
            </w:r>
          </w:p>
        </w:tc>
        <w:tc>
          <w:tcPr>
            <w:tcW w:w="1489" w:type="dxa"/>
            <w:tcBorders>
              <w:top w:val="nil"/>
              <w:left w:val="nil"/>
              <w:bottom w:val="nil"/>
              <w:right w:val="nil"/>
            </w:tcBorders>
            <w:shd w:val="clear" w:color="auto" w:fill="EB4747"/>
            <w:tcMar>
              <w:top w:w="15" w:type="dxa"/>
              <w:left w:w="40" w:type="dxa"/>
              <w:bottom w:w="0" w:type="dxa"/>
              <w:right w:w="40" w:type="dxa"/>
            </w:tcMar>
            <w:vAlign w:val="center"/>
            <w:hideMark/>
          </w:tcPr>
          <w:p w14:paraId="3F4A939B"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Відхилення,  %</w:t>
            </w:r>
          </w:p>
        </w:tc>
        <w:tc>
          <w:tcPr>
            <w:tcW w:w="4039" w:type="dxa"/>
            <w:tcBorders>
              <w:top w:val="nil"/>
              <w:left w:val="nil"/>
              <w:bottom w:val="nil"/>
              <w:right w:val="nil"/>
            </w:tcBorders>
            <w:shd w:val="clear" w:color="auto" w:fill="EB4747"/>
            <w:tcMar>
              <w:top w:w="15" w:type="dxa"/>
              <w:left w:w="40" w:type="dxa"/>
              <w:bottom w:w="0" w:type="dxa"/>
              <w:right w:w="40" w:type="dxa"/>
            </w:tcMar>
            <w:vAlign w:val="center"/>
            <w:hideMark/>
          </w:tcPr>
          <w:p w14:paraId="2B0D6D83"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Коментар/ пояснення</w:t>
            </w:r>
          </w:p>
        </w:tc>
      </w:tr>
      <w:tr w:rsidR="00075533" w:rsidRPr="0067539F" w14:paraId="56E71185" w14:textId="77777777" w:rsidTr="00EA3256">
        <w:trPr>
          <w:trHeight w:val="271"/>
        </w:trPr>
        <w:tc>
          <w:tcPr>
            <w:tcW w:w="2258" w:type="dxa"/>
            <w:tcBorders>
              <w:top w:val="nil"/>
              <w:left w:val="nil"/>
              <w:bottom w:val="nil"/>
              <w:right w:val="nil"/>
            </w:tcBorders>
            <w:shd w:val="clear" w:color="auto" w:fill="CFD5EA"/>
            <w:tcMar>
              <w:top w:w="15" w:type="dxa"/>
              <w:left w:w="40" w:type="dxa"/>
              <w:bottom w:w="0" w:type="dxa"/>
              <w:right w:w="40" w:type="dxa"/>
            </w:tcMar>
            <w:hideMark/>
          </w:tcPr>
          <w:p w14:paraId="50A0039C"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ДОХІД – Всього:</w:t>
            </w:r>
          </w:p>
        </w:tc>
        <w:tc>
          <w:tcPr>
            <w:tcW w:w="1497" w:type="dxa"/>
            <w:tcBorders>
              <w:top w:val="nil"/>
              <w:left w:val="nil"/>
              <w:bottom w:val="nil"/>
              <w:right w:val="nil"/>
            </w:tcBorders>
            <w:shd w:val="clear" w:color="auto" w:fill="CFD5EA"/>
            <w:tcMar>
              <w:top w:w="15" w:type="dxa"/>
              <w:left w:w="40" w:type="dxa"/>
              <w:bottom w:w="0" w:type="dxa"/>
              <w:right w:w="40" w:type="dxa"/>
            </w:tcMar>
            <w:hideMark/>
          </w:tcPr>
          <w:p w14:paraId="25B74E7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234 345,7</w:t>
            </w:r>
          </w:p>
        </w:tc>
        <w:tc>
          <w:tcPr>
            <w:tcW w:w="1349" w:type="dxa"/>
            <w:tcBorders>
              <w:top w:val="nil"/>
              <w:left w:val="nil"/>
              <w:bottom w:val="nil"/>
              <w:right w:val="nil"/>
            </w:tcBorders>
            <w:shd w:val="clear" w:color="auto" w:fill="CFD5EA"/>
            <w:tcMar>
              <w:top w:w="15" w:type="dxa"/>
              <w:left w:w="40" w:type="dxa"/>
              <w:bottom w:w="0" w:type="dxa"/>
              <w:right w:w="40" w:type="dxa"/>
            </w:tcMar>
            <w:hideMark/>
          </w:tcPr>
          <w:p w14:paraId="0449059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b/>
                <w:bCs/>
                <w:color w:val="000000" w:themeColor="dark1"/>
                <w:kern w:val="24"/>
                <w:sz w:val="20"/>
                <w:szCs w:val="20"/>
                <w:lang w:eastAsia="uk-UA"/>
              </w:rPr>
              <w:t>259 815,4</w:t>
            </w:r>
          </w:p>
        </w:tc>
        <w:tc>
          <w:tcPr>
            <w:tcW w:w="1489" w:type="dxa"/>
            <w:tcBorders>
              <w:top w:val="nil"/>
              <w:left w:val="nil"/>
              <w:bottom w:val="nil"/>
              <w:right w:val="nil"/>
            </w:tcBorders>
            <w:shd w:val="clear" w:color="auto" w:fill="CFD5EA"/>
            <w:tcMar>
              <w:top w:w="15" w:type="dxa"/>
              <w:left w:w="40" w:type="dxa"/>
              <w:bottom w:w="0" w:type="dxa"/>
              <w:right w:w="40" w:type="dxa"/>
            </w:tcMar>
            <w:hideMark/>
          </w:tcPr>
          <w:p w14:paraId="00674E37"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+10,8</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163052D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w:t>
            </w:r>
          </w:p>
        </w:tc>
      </w:tr>
      <w:tr w:rsidR="00075533" w:rsidRPr="0067539F" w14:paraId="5A4EF4AB" w14:textId="77777777" w:rsidTr="00EA3256">
        <w:trPr>
          <w:trHeight w:val="542"/>
        </w:trPr>
        <w:tc>
          <w:tcPr>
            <w:tcW w:w="2258" w:type="dxa"/>
            <w:tcBorders>
              <w:top w:val="nil"/>
              <w:left w:val="nil"/>
              <w:bottom w:val="nil"/>
              <w:right w:val="nil"/>
            </w:tcBorders>
            <w:shd w:val="clear" w:color="auto" w:fill="E9EBF5"/>
            <w:tcMar>
              <w:top w:w="15" w:type="dxa"/>
              <w:left w:w="40" w:type="dxa"/>
              <w:bottom w:w="0" w:type="dxa"/>
              <w:right w:w="40" w:type="dxa"/>
            </w:tcMar>
            <w:hideMark/>
          </w:tcPr>
          <w:p w14:paraId="7997F67B"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Дохід від реалізації продукції, в тому числі</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55D7D6ED"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170 848,5</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545D20E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b/>
                <w:bCs/>
                <w:color w:val="000000" w:themeColor="dark1"/>
                <w:kern w:val="24"/>
                <w:sz w:val="20"/>
                <w:szCs w:val="20"/>
                <w:lang w:eastAsia="uk-UA"/>
              </w:rPr>
              <w:t>167 405,3</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13C34F5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-2,0</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46C6F91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w:t>
            </w:r>
          </w:p>
        </w:tc>
      </w:tr>
      <w:tr w:rsidR="00075533" w:rsidRPr="0067539F" w14:paraId="6C6C9A21" w14:textId="77777777" w:rsidTr="00EA3256">
        <w:trPr>
          <w:trHeight w:val="409"/>
        </w:trPr>
        <w:tc>
          <w:tcPr>
            <w:tcW w:w="2258" w:type="dxa"/>
            <w:tcBorders>
              <w:top w:val="nil"/>
              <w:left w:val="nil"/>
              <w:bottom w:val="nil"/>
              <w:right w:val="nil"/>
            </w:tcBorders>
            <w:shd w:val="clear" w:color="auto" w:fill="CFD5EA"/>
            <w:tcMar>
              <w:top w:w="15" w:type="dxa"/>
              <w:left w:w="40" w:type="dxa"/>
              <w:bottom w:w="0" w:type="dxa"/>
              <w:right w:w="40" w:type="dxa"/>
            </w:tcMar>
            <w:vAlign w:val="center"/>
            <w:hideMark/>
          </w:tcPr>
          <w:p w14:paraId="220D33FE"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продукція молочної кухні</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6F90520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453,2</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0EA74CE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430,7</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433D1D1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-5,0</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1A91F4E4"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Зменшення реалізації молочної продукції зумовлено скороченням попиту.</w:t>
            </w:r>
          </w:p>
        </w:tc>
      </w:tr>
      <w:tr w:rsidR="00075533" w:rsidRPr="0067539F" w14:paraId="2A97D2FB" w14:textId="77777777" w:rsidTr="00EA3256">
        <w:trPr>
          <w:trHeight w:val="542"/>
        </w:trPr>
        <w:tc>
          <w:tcPr>
            <w:tcW w:w="2258" w:type="dxa"/>
            <w:tcBorders>
              <w:top w:val="nil"/>
              <w:left w:val="nil"/>
              <w:bottom w:val="nil"/>
              <w:right w:val="nil"/>
            </w:tcBorders>
            <w:shd w:val="clear" w:color="auto" w:fill="E9EBF5"/>
            <w:tcMar>
              <w:top w:w="15" w:type="dxa"/>
              <w:left w:w="40" w:type="dxa"/>
              <w:bottom w:w="0" w:type="dxa"/>
              <w:right w:w="40" w:type="dxa"/>
            </w:tcMar>
            <w:vAlign w:val="center"/>
            <w:hideMark/>
          </w:tcPr>
          <w:p w14:paraId="1D61D2E2" w14:textId="523FB01A"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xml:space="preserve">медична допомога </w:t>
            </w:r>
            <w:r w:rsidR="009A198B" w:rsidRPr="009A198B">
              <w:rPr>
                <w:rFonts w:ascii="Verdana" w:eastAsia="Times New Roman" w:hAnsi="Verdana" w:cs="Calibri"/>
                <w:b/>
                <w:bCs/>
                <w:color w:val="000000" w:themeColor="dark1"/>
                <w:kern w:val="24"/>
                <w:sz w:val="20"/>
                <w:szCs w:val="20"/>
                <w:lang w:eastAsia="uk-UA"/>
              </w:rPr>
              <w:t>за</w:t>
            </w:r>
            <w:r w:rsidRPr="0067539F">
              <w:rPr>
                <w:rFonts w:ascii="Verdana" w:eastAsia="Times New Roman" w:hAnsi="Verdana" w:cs="Calibri"/>
                <w:b/>
                <w:bCs/>
                <w:color w:val="000000" w:themeColor="dark1"/>
                <w:kern w:val="24"/>
                <w:sz w:val="20"/>
                <w:szCs w:val="20"/>
                <w:lang w:eastAsia="uk-UA"/>
              </w:rPr>
              <w:t xml:space="preserve"> Програм</w:t>
            </w:r>
            <w:r w:rsidR="009A198B" w:rsidRPr="009A198B">
              <w:rPr>
                <w:rFonts w:ascii="Verdana" w:eastAsia="Times New Roman" w:hAnsi="Verdana" w:cs="Calibri"/>
                <w:b/>
                <w:bCs/>
                <w:color w:val="000000" w:themeColor="dark1"/>
                <w:kern w:val="24"/>
                <w:sz w:val="20"/>
                <w:szCs w:val="20"/>
                <w:lang w:eastAsia="uk-UA"/>
              </w:rPr>
              <w:t>ою</w:t>
            </w:r>
            <w:r w:rsidRPr="0067539F">
              <w:rPr>
                <w:rFonts w:ascii="Verdana" w:eastAsia="Times New Roman" w:hAnsi="Verdana" w:cs="Calibri"/>
                <w:b/>
                <w:bCs/>
                <w:color w:val="000000" w:themeColor="dark1"/>
                <w:kern w:val="24"/>
                <w:sz w:val="20"/>
                <w:szCs w:val="20"/>
                <w:lang w:eastAsia="uk-UA"/>
              </w:rPr>
              <w:t xml:space="preserve"> медичних гарантій</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4CE3FB5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167 529,1</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612E579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163 216,7</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49E399B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-2,6</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3B8CFB77"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Договір з НСЗУ. У 4 кварталі 2024 р. нами  була підписана  додаткова угода з НСЗУ  на зменшення  коефіцієнтів по пакетам: № 3 «Хірургічні операції дорослим та дітям у стаціонарних умовах», 4 «Стаціонарна допомога дорослим та дітям без проведення хірургічних операцій», 9 «Медична допомоги дорослим та дітям в амбулаторних умовах».</w:t>
            </w:r>
          </w:p>
        </w:tc>
      </w:tr>
      <w:tr w:rsidR="00075533" w:rsidRPr="0067539F" w14:paraId="48714125" w14:textId="77777777" w:rsidTr="00EA3256">
        <w:trPr>
          <w:trHeight w:val="359"/>
        </w:trPr>
        <w:tc>
          <w:tcPr>
            <w:tcW w:w="2258" w:type="dxa"/>
            <w:tcBorders>
              <w:top w:val="nil"/>
              <w:left w:val="nil"/>
              <w:bottom w:val="nil"/>
              <w:right w:val="nil"/>
            </w:tcBorders>
            <w:shd w:val="clear" w:color="auto" w:fill="CFD5EA"/>
            <w:tcMar>
              <w:top w:w="15" w:type="dxa"/>
              <w:left w:w="40" w:type="dxa"/>
              <w:bottom w:w="0" w:type="dxa"/>
              <w:right w:w="40" w:type="dxa"/>
            </w:tcMar>
            <w:vAlign w:val="center"/>
            <w:hideMark/>
          </w:tcPr>
          <w:p w14:paraId="1D85BD5B"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платні медичні послуги</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2EBDFB3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2 866,2</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495A43F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3 757,9</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26ED56C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+31,1</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7A271583"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xml:space="preserve">Збільшення попиту споживачів. </w:t>
            </w:r>
          </w:p>
        </w:tc>
      </w:tr>
      <w:tr w:rsidR="00075533" w:rsidRPr="0067539F" w14:paraId="7141FD51" w14:textId="77777777" w:rsidTr="00EA3256">
        <w:trPr>
          <w:trHeight w:val="271"/>
        </w:trPr>
        <w:tc>
          <w:tcPr>
            <w:tcW w:w="2258" w:type="dxa"/>
            <w:tcBorders>
              <w:top w:val="nil"/>
              <w:left w:val="nil"/>
              <w:bottom w:val="nil"/>
              <w:right w:val="nil"/>
            </w:tcBorders>
            <w:shd w:val="clear" w:color="auto" w:fill="E9EBF5"/>
            <w:tcMar>
              <w:top w:w="15" w:type="dxa"/>
              <w:left w:w="40" w:type="dxa"/>
              <w:bottom w:w="0" w:type="dxa"/>
              <w:right w:w="40" w:type="dxa"/>
            </w:tcMar>
            <w:hideMark/>
          </w:tcPr>
          <w:p w14:paraId="3BDCFA57"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Інший дохід, в тому числі:</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277CA38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63 497,2</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739AA6FE"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b/>
                <w:bCs/>
                <w:color w:val="000000" w:themeColor="dark1"/>
                <w:kern w:val="24"/>
                <w:sz w:val="20"/>
                <w:szCs w:val="20"/>
                <w:lang w:eastAsia="uk-UA"/>
              </w:rPr>
              <w:t>92 410,1</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0F05518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+45,5</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5A14F68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w:t>
            </w:r>
          </w:p>
        </w:tc>
      </w:tr>
      <w:tr w:rsidR="00075533" w:rsidRPr="0067539F" w14:paraId="2C850558" w14:textId="77777777" w:rsidTr="00EA3256">
        <w:trPr>
          <w:trHeight w:val="813"/>
        </w:trPr>
        <w:tc>
          <w:tcPr>
            <w:tcW w:w="2258" w:type="dxa"/>
            <w:tcBorders>
              <w:top w:val="nil"/>
              <w:left w:val="nil"/>
              <w:bottom w:val="nil"/>
              <w:right w:val="nil"/>
            </w:tcBorders>
            <w:shd w:val="clear" w:color="auto" w:fill="CFD5EA"/>
            <w:tcMar>
              <w:top w:w="15" w:type="dxa"/>
              <w:left w:w="40" w:type="dxa"/>
              <w:bottom w:w="0" w:type="dxa"/>
              <w:right w:w="40" w:type="dxa"/>
            </w:tcMar>
            <w:hideMark/>
          </w:tcPr>
          <w:p w14:paraId="0BA004B0"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lastRenderedPageBreak/>
              <w:t>  дохід від надходження з місцевого бюджету</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14E09BF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22 846,5</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07CB5BC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9051,1</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1F8B7725"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-60,4</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4466883A"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У 2023 році з місцевого   бюджету було виділено більше коштів ніж у 2024 році: 2023 рік на заробітну плату – 12721,3 тис. грн та енергоносії – 10929,5 тис. грн, а у 2024 на  заробітну плату – 1000,0 тис. грн, енергоносії – 8051,1 ти. грн.</w:t>
            </w:r>
          </w:p>
        </w:tc>
      </w:tr>
      <w:tr w:rsidR="00075533" w:rsidRPr="0067539F" w14:paraId="2F29B6FF" w14:textId="77777777" w:rsidTr="00EA3256">
        <w:trPr>
          <w:trHeight w:val="542"/>
        </w:trPr>
        <w:tc>
          <w:tcPr>
            <w:tcW w:w="2258" w:type="dxa"/>
            <w:tcBorders>
              <w:top w:val="nil"/>
              <w:left w:val="nil"/>
              <w:bottom w:val="nil"/>
              <w:right w:val="nil"/>
            </w:tcBorders>
            <w:shd w:val="clear" w:color="auto" w:fill="E9EBF5"/>
            <w:tcMar>
              <w:top w:w="15" w:type="dxa"/>
              <w:left w:w="40" w:type="dxa"/>
              <w:bottom w:w="0" w:type="dxa"/>
              <w:right w:w="40" w:type="dxa"/>
            </w:tcMar>
            <w:hideMark/>
          </w:tcPr>
          <w:p w14:paraId="062AC682"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xml:space="preserve">    дохід від операційної оренди активів</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320E0BEB"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552,1</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5FEC140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268,6</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7EC952B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-51,3</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0C763DB3"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Зменшення відбулось у зв'язку із прийняттям рішення міської ради про відрахування 70 % від оренди нежитлових приміщень в місцевий бюджет з серпня 2023 р.</w:t>
            </w:r>
          </w:p>
        </w:tc>
      </w:tr>
      <w:tr w:rsidR="00075533" w:rsidRPr="0067539F" w14:paraId="36EA5B7E" w14:textId="77777777" w:rsidTr="00EA3256">
        <w:trPr>
          <w:trHeight w:val="813"/>
        </w:trPr>
        <w:tc>
          <w:tcPr>
            <w:tcW w:w="2258" w:type="dxa"/>
            <w:tcBorders>
              <w:top w:val="nil"/>
              <w:left w:val="nil"/>
              <w:bottom w:val="nil"/>
              <w:right w:val="nil"/>
            </w:tcBorders>
            <w:shd w:val="clear" w:color="auto" w:fill="CFD5EA"/>
            <w:tcMar>
              <w:top w:w="15" w:type="dxa"/>
              <w:left w:w="40" w:type="dxa"/>
              <w:bottom w:w="0" w:type="dxa"/>
              <w:right w:w="40" w:type="dxa"/>
            </w:tcMar>
            <w:hideMark/>
          </w:tcPr>
          <w:p w14:paraId="6E5E2C9A"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відшкодування орендарями комунальних послуг та енергоносіїв:</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2DE1F33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411,9</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503CC57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459</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46707EC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+11,4</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64BCB7F7"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Збільшення доходу пов’язано із коливанням тарифів на комунальні послуги та укладанням нових  договорів. Орендована площа у 2024 р. (789,1 м2) збільшилась у порівнянні з 2023 роком (654,9 м2) на  +18,7%.</w:t>
            </w:r>
          </w:p>
        </w:tc>
      </w:tr>
      <w:tr w:rsidR="00075533" w:rsidRPr="0067539F" w14:paraId="0CAF9488" w14:textId="77777777" w:rsidTr="00EA3256">
        <w:trPr>
          <w:trHeight w:val="542"/>
        </w:trPr>
        <w:tc>
          <w:tcPr>
            <w:tcW w:w="2258" w:type="dxa"/>
            <w:tcBorders>
              <w:top w:val="nil"/>
              <w:left w:val="nil"/>
              <w:bottom w:val="nil"/>
              <w:right w:val="nil"/>
            </w:tcBorders>
            <w:shd w:val="clear" w:color="auto" w:fill="E9EBF5"/>
            <w:tcMar>
              <w:top w:w="15" w:type="dxa"/>
              <w:left w:w="40" w:type="dxa"/>
              <w:bottom w:w="0" w:type="dxa"/>
              <w:right w:w="40" w:type="dxa"/>
            </w:tcMar>
            <w:hideMark/>
          </w:tcPr>
          <w:p w14:paraId="57C4C5AB"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відшкодування орендарями земельного податку</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32E0033E"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11,7</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56E93E5C"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15,3</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4D0A2B4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+30,8</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1A2B5D86"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Збільшення відбулось у зв’язку із збільшенням коефіцієнта індексації  нормативної грошової оцінки земель.</w:t>
            </w:r>
          </w:p>
        </w:tc>
      </w:tr>
      <w:tr w:rsidR="00075533" w:rsidRPr="0067539F" w14:paraId="7B567C19" w14:textId="77777777" w:rsidTr="00EA3256">
        <w:trPr>
          <w:trHeight w:val="271"/>
        </w:trPr>
        <w:tc>
          <w:tcPr>
            <w:tcW w:w="2258" w:type="dxa"/>
            <w:tcBorders>
              <w:top w:val="nil"/>
              <w:left w:val="nil"/>
              <w:bottom w:val="nil"/>
              <w:right w:val="nil"/>
            </w:tcBorders>
            <w:shd w:val="clear" w:color="auto" w:fill="CFD5EA"/>
            <w:tcMar>
              <w:top w:w="15" w:type="dxa"/>
              <w:left w:w="40" w:type="dxa"/>
              <w:bottom w:w="0" w:type="dxa"/>
              <w:right w:w="40" w:type="dxa"/>
            </w:tcMar>
            <w:hideMark/>
          </w:tcPr>
          <w:p w14:paraId="46E1D762"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послуги з освіти (інтернатура)</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6110AA5C"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140,1</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57646A8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54,3</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4256C3F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-61,2</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15A879D4"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Зменшення кількості інтернів за контрактом.</w:t>
            </w:r>
          </w:p>
        </w:tc>
      </w:tr>
      <w:tr w:rsidR="00075533" w:rsidRPr="0067539F" w14:paraId="02222EEA" w14:textId="77777777" w:rsidTr="00EA3256">
        <w:trPr>
          <w:trHeight w:val="851"/>
        </w:trPr>
        <w:tc>
          <w:tcPr>
            <w:tcW w:w="2258" w:type="dxa"/>
            <w:tcBorders>
              <w:top w:val="nil"/>
              <w:left w:val="nil"/>
              <w:bottom w:val="nil"/>
              <w:right w:val="nil"/>
            </w:tcBorders>
            <w:shd w:val="clear" w:color="auto" w:fill="E9EBF5"/>
            <w:tcMar>
              <w:top w:w="15" w:type="dxa"/>
              <w:left w:w="40" w:type="dxa"/>
              <w:bottom w:w="0" w:type="dxa"/>
              <w:right w:w="40" w:type="dxa"/>
            </w:tcMar>
            <w:hideMark/>
          </w:tcPr>
          <w:p w14:paraId="3FE3D33A"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дохід від безоплатно отриманих оборотних та необоротних активів</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222B338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36 911,5</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6E65C67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79601,7</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517BDB6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+115,6</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179D21B1"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Було визнано дохід в частині списання запасів отриманих як благодійна допомога 15 144,7 тис. грн та централізоване постачання (медикаменти) – 49 430,6 тис. грн, основних засобів за рахунок пропорційно нарахованій амортизації – 15 026,4 тис. грн.</w:t>
            </w:r>
          </w:p>
        </w:tc>
      </w:tr>
      <w:tr w:rsidR="00075533" w:rsidRPr="0067539F" w14:paraId="083B4575" w14:textId="77777777" w:rsidTr="00EA3256">
        <w:trPr>
          <w:trHeight w:val="601"/>
        </w:trPr>
        <w:tc>
          <w:tcPr>
            <w:tcW w:w="2258" w:type="dxa"/>
            <w:tcBorders>
              <w:top w:val="nil"/>
              <w:left w:val="nil"/>
              <w:bottom w:val="nil"/>
              <w:right w:val="nil"/>
            </w:tcBorders>
            <w:shd w:val="clear" w:color="auto" w:fill="CFD5EA"/>
            <w:tcMar>
              <w:top w:w="15" w:type="dxa"/>
              <w:left w:w="40" w:type="dxa"/>
              <w:bottom w:w="0" w:type="dxa"/>
              <w:right w:w="40" w:type="dxa"/>
            </w:tcMar>
            <w:hideMark/>
          </w:tcPr>
          <w:p w14:paraId="746E6F8B"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w:t>
            </w:r>
          </w:p>
          <w:p w14:paraId="4BBA0B9A"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дохід від депозиту</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3B5BF74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2 289,0</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522A1A9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2 583,8</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344AC46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+12,9</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335CBFEA"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Збільшення відбулось за рахунок співпраці з банками (індивідуальний підхід до  кожного депозиту -  підвищення стандартної ставки для підприємства).</w:t>
            </w:r>
          </w:p>
        </w:tc>
      </w:tr>
      <w:tr w:rsidR="00075533" w:rsidRPr="0067539F" w14:paraId="2D86E124" w14:textId="77777777" w:rsidTr="00EA3256">
        <w:trPr>
          <w:trHeight w:val="689"/>
        </w:trPr>
        <w:tc>
          <w:tcPr>
            <w:tcW w:w="2258" w:type="dxa"/>
            <w:tcBorders>
              <w:top w:val="nil"/>
              <w:left w:val="nil"/>
              <w:bottom w:val="nil"/>
              <w:right w:val="nil"/>
            </w:tcBorders>
            <w:shd w:val="clear" w:color="auto" w:fill="E9EBF5"/>
            <w:tcMar>
              <w:top w:w="15" w:type="dxa"/>
              <w:left w:w="40" w:type="dxa"/>
              <w:bottom w:w="0" w:type="dxa"/>
              <w:right w:w="40" w:type="dxa"/>
            </w:tcMar>
            <w:hideMark/>
          </w:tcPr>
          <w:p w14:paraId="64E45DFD"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дохід від благодійних внесків</w:t>
            </w:r>
          </w:p>
        </w:tc>
        <w:tc>
          <w:tcPr>
            <w:tcW w:w="1497" w:type="dxa"/>
            <w:tcBorders>
              <w:top w:val="nil"/>
              <w:left w:val="nil"/>
              <w:bottom w:val="nil"/>
              <w:right w:val="nil"/>
            </w:tcBorders>
            <w:shd w:val="clear" w:color="auto" w:fill="E9EBF5"/>
            <w:tcMar>
              <w:top w:w="15" w:type="dxa"/>
              <w:left w:w="40" w:type="dxa"/>
              <w:bottom w:w="0" w:type="dxa"/>
              <w:right w:w="40" w:type="dxa"/>
            </w:tcMar>
            <w:vAlign w:val="center"/>
            <w:hideMark/>
          </w:tcPr>
          <w:p w14:paraId="27F68D8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302,2</w:t>
            </w:r>
          </w:p>
        </w:tc>
        <w:tc>
          <w:tcPr>
            <w:tcW w:w="1349" w:type="dxa"/>
            <w:tcBorders>
              <w:top w:val="nil"/>
              <w:left w:val="nil"/>
              <w:bottom w:val="nil"/>
              <w:right w:val="nil"/>
            </w:tcBorders>
            <w:shd w:val="clear" w:color="auto" w:fill="E9EBF5"/>
            <w:tcMar>
              <w:top w:w="15" w:type="dxa"/>
              <w:left w:w="40" w:type="dxa"/>
              <w:bottom w:w="0" w:type="dxa"/>
              <w:right w:w="40" w:type="dxa"/>
            </w:tcMar>
            <w:vAlign w:val="center"/>
            <w:hideMark/>
          </w:tcPr>
          <w:p w14:paraId="389F322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369,7</w:t>
            </w:r>
          </w:p>
        </w:tc>
        <w:tc>
          <w:tcPr>
            <w:tcW w:w="1489" w:type="dxa"/>
            <w:tcBorders>
              <w:top w:val="nil"/>
              <w:left w:val="nil"/>
              <w:bottom w:val="nil"/>
              <w:right w:val="nil"/>
            </w:tcBorders>
            <w:shd w:val="clear" w:color="auto" w:fill="E9EBF5"/>
            <w:tcMar>
              <w:top w:w="15" w:type="dxa"/>
              <w:left w:w="40" w:type="dxa"/>
              <w:bottom w:w="0" w:type="dxa"/>
              <w:right w:w="40" w:type="dxa"/>
            </w:tcMar>
            <w:vAlign w:val="center"/>
            <w:hideMark/>
          </w:tcPr>
          <w:p w14:paraId="4E52F28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+22,3</w:t>
            </w:r>
          </w:p>
        </w:tc>
        <w:tc>
          <w:tcPr>
            <w:tcW w:w="4039" w:type="dxa"/>
            <w:tcBorders>
              <w:top w:val="nil"/>
              <w:left w:val="nil"/>
              <w:bottom w:val="nil"/>
              <w:right w:val="nil"/>
            </w:tcBorders>
            <w:shd w:val="clear" w:color="auto" w:fill="E9EBF5"/>
            <w:tcMar>
              <w:top w:w="15" w:type="dxa"/>
              <w:left w:w="40" w:type="dxa"/>
              <w:bottom w:w="0" w:type="dxa"/>
              <w:right w:w="40" w:type="dxa"/>
            </w:tcMar>
            <w:hideMark/>
          </w:tcPr>
          <w:p w14:paraId="5F2F1D60"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На протязі року благодійна допомога надходила більше у вигляді товаро-матеріальних цінностей.</w:t>
            </w:r>
          </w:p>
        </w:tc>
      </w:tr>
      <w:tr w:rsidR="00075533" w:rsidRPr="0067539F" w14:paraId="27EB1846" w14:textId="77777777" w:rsidTr="00EA3256">
        <w:trPr>
          <w:trHeight w:val="813"/>
        </w:trPr>
        <w:tc>
          <w:tcPr>
            <w:tcW w:w="2258" w:type="dxa"/>
            <w:tcBorders>
              <w:top w:val="nil"/>
              <w:left w:val="nil"/>
              <w:bottom w:val="nil"/>
              <w:right w:val="nil"/>
            </w:tcBorders>
            <w:shd w:val="clear" w:color="auto" w:fill="CFD5EA"/>
            <w:tcMar>
              <w:top w:w="15" w:type="dxa"/>
              <w:left w:w="40" w:type="dxa"/>
              <w:bottom w:w="0" w:type="dxa"/>
              <w:right w:w="40" w:type="dxa"/>
            </w:tcMar>
            <w:hideMark/>
          </w:tcPr>
          <w:p w14:paraId="2A77DFD2"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w:t>
            </w:r>
          </w:p>
          <w:p w14:paraId="53D2488A"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інший дохід</w:t>
            </w:r>
          </w:p>
        </w:tc>
        <w:tc>
          <w:tcPr>
            <w:tcW w:w="1497" w:type="dxa"/>
            <w:tcBorders>
              <w:top w:val="nil"/>
              <w:left w:val="nil"/>
              <w:bottom w:val="nil"/>
              <w:right w:val="nil"/>
            </w:tcBorders>
            <w:shd w:val="clear" w:color="auto" w:fill="CFD5EA"/>
            <w:tcMar>
              <w:top w:w="15" w:type="dxa"/>
              <w:left w:w="40" w:type="dxa"/>
              <w:bottom w:w="0" w:type="dxa"/>
              <w:right w:w="40" w:type="dxa"/>
            </w:tcMar>
            <w:vAlign w:val="center"/>
            <w:hideMark/>
          </w:tcPr>
          <w:p w14:paraId="4535BA63"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32,2</w:t>
            </w:r>
          </w:p>
        </w:tc>
        <w:tc>
          <w:tcPr>
            <w:tcW w:w="1349" w:type="dxa"/>
            <w:tcBorders>
              <w:top w:val="nil"/>
              <w:left w:val="nil"/>
              <w:bottom w:val="nil"/>
              <w:right w:val="nil"/>
            </w:tcBorders>
            <w:shd w:val="clear" w:color="auto" w:fill="CFD5EA"/>
            <w:tcMar>
              <w:top w:w="15" w:type="dxa"/>
              <w:left w:w="40" w:type="dxa"/>
              <w:bottom w:w="0" w:type="dxa"/>
              <w:right w:w="40" w:type="dxa"/>
            </w:tcMar>
            <w:vAlign w:val="center"/>
            <w:hideMark/>
          </w:tcPr>
          <w:p w14:paraId="393C4327"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6,6</w:t>
            </w:r>
          </w:p>
        </w:tc>
        <w:tc>
          <w:tcPr>
            <w:tcW w:w="1489" w:type="dxa"/>
            <w:tcBorders>
              <w:top w:val="nil"/>
              <w:left w:val="nil"/>
              <w:bottom w:val="nil"/>
              <w:right w:val="nil"/>
            </w:tcBorders>
            <w:shd w:val="clear" w:color="auto" w:fill="CFD5EA"/>
            <w:tcMar>
              <w:top w:w="15" w:type="dxa"/>
              <w:left w:w="40" w:type="dxa"/>
              <w:bottom w:w="0" w:type="dxa"/>
              <w:right w:w="40" w:type="dxa"/>
            </w:tcMar>
            <w:vAlign w:val="center"/>
            <w:hideMark/>
          </w:tcPr>
          <w:p w14:paraId="57E90B2E"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-79,5</w:t>
            </w:r>
          </w:p>
        </w:tc>
        <w:tc>
          <w:tcPr>
            <w:tcW w:w="4039" w:type="dxa"/>
            <w:tcBorders>
              <w:top w:val="nil"/>
              <w:left w:val="nil"/>
              <w:bottom w:val="nil"/>
              <w:right w:val="nil"/>
            </w:tcBorders>
            <w:shd w:val="clear" w:color="auto" w:fill="CFD5EA"/>
            <w:tcMar>
              <w:top w:w="15" w:type="dxa"/>
              <w:left w:w="40" w:type="dxa"/>
              <w:bottom w:w="0" w:type="dxa"/>
              <w:right w:w="40" w:type="dxa"/>
            </w:tcMar>
            <w:hideMark/>
          </w:tcPr>
          <w:p w14:paraId="225EBFA6"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У 2024 році списано основні засоби, реалізовано металобрухту – 4,9 тис. грн., курсові різниці – 1,7 тис. грн., а у 2023 році: брухт – 8,7 тис. грн, курсові різниці – 8,6 тис. грн, списання запасів – 1,1 тис. грн, визнано доходом кредиторську заборгованість в сумі 13,8 тис. грн.</w:t>
            </w:r>
          </w:p>
        </w:tc>
      </w:tr>
    </w:tbl>
    <w:p w14:paraId="371D7B74" w14:textId="0115EDAE" w:rsidR="0067539F" w:rsidRPr="009A198B" w:rsidRDefault="0067539F" w:rsidP="009A198B">
      <w:pPr>
        <w:suppressAutoHyphens/>
        <w:spacing w:after="0" w:line="240" w:lineRule="auto"/>
        <w:ind w:right="142" w:firstLine="708"/>
        <w:jc w:val="both"/>
        <w:rPr>
          <w:rFonts w:ascii="Verdana" w:eastAsia="Times New Roman" w:hAnsi="Verdana" w:cs="Times New Roman"/>
          <w:b/>
          <w:bCs/>
          <w:color w:val="1F4E79"/>
          <w:lang w:eastAsia="ar-SA"/>
        </w:rPr>
      </w:pPr>
    </w:p>
    <w:p w14:paraId="414BEC33" w14:textId="48255CDC" w:rsidR="0067539F" w:rsidRDefault="0067539F"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5C682DE0" w14:textId="23B4CEEE" w:rsidR="00EA3256" w:rsidRDefault="00EA3256"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6A735128" w14:textId="77777777" w:rsidR="00EA3256" w:rsidRPr="009A198B" w:rsidRDefault="00EA3256"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7F478547" w14:textId="214B082F" w:rsidR="0067539F" w:rsidRPr="007D74C2"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7D74C2">
        <w:rPr>
          <w:rFonts w:ascii="Verdana" w:eastAsia="Times New Roman" w:hAnsi="Verdana" w:cs="Times New Roman"/>
          <w:b/>
          <w:bCs/>
          <w:color w:val="066A74"/>
          <w:lang w:eastAsia="ar-SA"/>
        </w:rPr>
        <w:lastRenderedPageBreak/>
        <w:t>ОСНОВНІ ФІНАНСОВІ РЕЗУЛЬТАТИ (витрати)</w:t>
      </w:r>
    </w:p>
    <w:tbl>
      <w:tblPr>
        <w:tblW w:w="10490" w:type="dxa"/>
        <w:tblInd w:w="-567" w:type="dxa"/>
        <w:tblCellMar>
          <w:left w:w="0" w:type="dxa"/>
          <w:right w:w="0" w:type="dxa"/>
        </w:tblCellMar>
        <w:tblLook w:val="04A0" w:firstRow="1" w:lastRow="0" w:firstColumn="1" w:lastColumn="0" w:noHBand="0" w:noVBand="1"/>
      </w:tblPr>
      <w:tblGrid>
        <w:gridCol w:w="2230"/>
        <w:gridCol w:w="1506"/>
        <w:gridCol w:w="1509"/>
        <w:gridCol w:w="1527"/>
        <w:gridCol w:w="3718"/>
      </w:tblGrid>
      <w:tr w:rsidR="0067539F" w:rsidRPr="009A198B" w14:paraId="27C9C8F2" w14:textId="77777777" w:rsidTr="00EA3256">
        <w:trPr>
          <w:trHeight w:val="685"/>
        </w:trPr>
        <w:tc>
          <w:tcPr>
            <w:tcW w:w="2230" w:type="dxa"/>
            <w:tcBorders>
              <w:top w:val="nil"/>
              <w:left w:val="nil"/>
              <w:bottom w:val="nil"/>
              <w:right w:val="nil"/>
            </w:tcBorders>
            <w:shd w:val="clear" w:color="auto" w:fill="EB4747"/>
            <w:tcMar>
              <w:top w:w="15" w:type="dxa"/>
              <w:left w:w="59" w:type="dxa"/>
              <w:bottom w:w="0" w:type="dxa"/>
              <w:right w:w="59" w:type="dxa"/>
            </w:tcMar>
            <w:vAlign w:val="center"/>
            <w:hideMark/>
          </w:tcPr>
          <w:p w14:paraId="627CE88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 Витрати</w:t>
            </w:r>
          </w:p>
        </w:tc>
        <w:tc>
          <w:tcPr>
            <w:tcW w:w="1506" w:type="dxa"/>
            <w:tcBorders>
              <w:top w:val="nil"/>
              <w:left w:val="nil"/>
              <w:bottom w:val="nil"/>
              <w:right w:val="nil"/>
            </w:tcBorders>
            <w:shd w:val="clear" w:color="auto" w:fill="EB4747"/>
            <w:tcMar>
              <w:top w:w="15" w:type="dxa"/>
              <w:left w:w="59" w:type="dxa"/>
              <w:bottom w:w="0" w:type="dxa"/>
              <w:right w:w="59" w:type="dxa"/>
            </w:tcMar>
            <w:vAlign w:val="center"/>
            <w:hideMark/>
          </w:tcPr>
          <w:p w14:paraId="6CF1E3E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heme="minorEastAsia" w:hAnsi="Verdana"/>
                <w:b/>
                <w:bCs/>
                <w:color w:val="FFFFFF"/>
                <w:kern w:val="24"/>
                <w:sz w:val="20"/>
                <w:szCs w:val="20"/>
                <w:lang w:eastAsia="uk-UA"/>
              </w:rPr>
              <w:t>Факт 2023 р., тис. грн</w:t>
            </w:r>
          </w:p>
        </w:tc>
        <w:tc>
          <w:tcPr>
            <w:tcW w:w="1509" w:type="dxa"/>
            <w:tcBorders>
              <w:top w:val="nil"/>
              <w:left w:val="nil"/>
              <w:bottom w:val="nil"/>
              <w:right w:val="nil"/>
            </w:tcBorders>
            <w:shd w:val="clear" w:color="auto" w:fill="EB4747"/>
            <w:tcMar>
              <w:top w:w="15" w:type="dxa"/>
              <w:left w:w="59" w:type="dxa"/>
              <w:bottom w:w="0" w:type="dxa"/>
              <w:right w:w="59" w:type="dxa"/>
            </w:tcMar>
            <w:vAlign w:val="center"/>
            <w:hideMark/>
          </w:tcPr>
          <w:p w14:paraId="16C0F2BB"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heme="minorEastAsia" w:hAnsi="Verdana"/>
                <w:b/>
                <w:bCs/>
                <w:color w:val="FFFFFF"/>
                <w:kern w:val="24"/>
                <w:sz w:val="20"/>
                <w:szCs w:val="20"/>
                <w:lang w:eastAsia="uk-UA"/>
              </w:rPr>
              <w:t>Факт 2024 р., тис. грн</w:t>
            </w:r>
          </w:p>
        </w:tc>
        <w:tc>
          <w:tcPr>
            <w:tcW w:w="1527" w:type="dxa"/>
            <w:tcBorders>
              <w:top w:val="nil"/>
              <w:left w:val="nil"/>
              <w:bottom w:val="nil"/>
              <w:right w:val="nil"/>
            </w:tcBorders>
            <w:shd w:val="clear" w:color="auto" w:fill="EB4747"/>
            <w:tcMar>
              <w:top w:w="15" w:type="dxa"/>
              <w:left w:w="59" w:type="dxa"/>
              <w:bottom w:w="0" w:type="dxa"/>
              <w:right w:w="59" w:type="dxa"/>
            </w:tcMar>
            <w:vAlign w:val="center"/>
            <w:hideMark/>
          </w:tcPr>
          <w:p w14:paraId="032CB34C"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 xml:space="preserve">Відхилення, </w:t>
            </w:r>
          </w:p>
          <w:p w14:paraId="64E7296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w:t>
            </w:r>
          </w:p>
        </w:tc>
        <w:tc>
          <w:tcPr>
            <w:tcW w:w="3718" w:type="dxa"/>
            <w:tcBorders>
              <w:top w:val="nil"/>
              <w:left w:val="nil"/>
              <w:bottom w:val="nil"/>
              <w:right w:val="nil"/>
            </w:tcBorders>
            <w:shd w:val="clear" w:color="auto" w:fill="EB4747"/>
            <w:tcMar>
              <w:top w:w="15" w:type="dxa"/>
              <w:left w:w="59" w:type="dxa"/>
              <w:bottom w:w="0" w:type="dxa"/>
              <w:right w:w="59" w:type="dxa"/>
            </w:tcMar>
            <w:vAlign w:val="center"/>
            <w:hideMark/>
          </w:tcPr>
          <w:p w14:paraId="132C102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Коментар/</w:t>
            </w:r>
          </w:p>
          <w:p w14:paraId="1C73F6A5"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b/>
                <w:bCs/>
                <w:color w:val="FFFFFF" w:themeColor="light1"/>
                <w:kern w:val="24"/>
                <w:sz w:val="20"/>
                <w:szCs w:val="20"/>
                <w:lang w:eastAsia="uk-UA"/>
              </w:rPr>
              <w:t>пояснення</w:t>
            </w:r>
          </w:p>
        </w:tc>
      </w:tr>
      <w:tr w:rsidR="0067539F" w:rsidRPr="009A198B" w14:paraId="572A0D08" w14:textId="77777777" w:rsidTr="00EA3256">
        <w:trPr>
          <w:trHeight w:val="342"/>
        </w:trPr>
        <w:tc>
          <w:tcPr>
            <w:tcW w:w="2230" w:type="dxa"/>
            <w:tcBorders>
              <w:top w:val="nil"/>
              <w:left w:val="nil"/>
              <w:bottom w:val="nil"/>
              <w:right w:val="nil"/>
            </w:tcBorders>
            <w:shd w:val="clear" w:color="auto" w:fill="CFD5EA"/>
            <w:tcMar>
              <w:top w:w="15" w:type="dxa"/>
              <w:left w:w="59" w:type="dxa"/>
              <w:bottom w:w="0" w:type="dxa"/>
              <w:right w:w="59" w:type="dxa"/>
            </w:tcMar>
            <w:hideMark/>
          </w:tcPr>
          <w:p w14:paraId="032EBDD1" w14:textId="77777777" w:rsidR="0067539F" w:rsidRPr="0067539F" w:rsidRDefault="0067539F" w:rsidP="009A198B">
            <w:pPr>
              <w:spacing w:after="0" w:line="240" w:lineRule="auto"/>
              <w:jc w:val="both"/>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Витрати – Всього:</w:t>
            </w:r>
          </w:p>
        </w:tc>
        <w:tc>
          <w:tcPr>
            <w:tcW w:w="1506" w:type="dxa"/>
            <w:tcBorders>
              <w:top w:val="nil"/>
              <w:left w:val="nil"/>
              <w:bottom w:val="nil"/>
              <w:right w:val="nil"/>
            </w:tcBorders>
            <w:shd w:val="clear" w:color="auto" w:fill="CFD5EA"/>
            <w:tcMar>
              <w:top w:w="15" w:type="dxa"/>
              <w:left w:w="59" w:type="dxa"/>
              <w:bottom w:w="0" w:type="dxa"/>
              <w:right w:w="59" w:type="dxa"/>
            </w:tcMar>
            <w:vAlign w:val="center"/>
            <w:hideMark/>
          </w:tcPr>
          <w:p w14:paraId="33349C7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212 612,3</w:t>
            </w:r>
          </w:p>
        </w:tc>
        <w:tc>
          <w:tcPr>
            <w:tcW w:w="1509" w:type="dxa"/>
            <w:tcBorders>
              <w:top w:val="nil"/>
              <w:left w:val="nil"/>
              <w:bottom w:val="nil"/>
              <w:right w:val="nil"/>
            </w:tcBorders>
            <w:shd w:val="clear" w:color="auto" w:fill="CFD5EA"/>
            <w:tcMar>
              <w:top w:w="15" w:type="dxa"/>
              <w:left w:w="59" w:type="dxa"/>
              <w:bottom w:w="0" w:type="dxa"/>
              <w:right w:w="59" w:type="dxa"/>
            </w:tcMar>
            <w:vAlign w:val="center"/>
            <w:hideMark/>
          </w:tcPr>
          <w:p w14:paraId="0464760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256 836,8</w:t>
            </w:r>
          </w:p>
        </w:tc>
        <w:tc>
          <w:tcPr>
            <w:tcW w:w="1527" w:type="dxa"/>
            <w:tcBorders>
              <w:top w:val="nil"/>
              <w:left w:val="nil"/>
              <w:bottom w:val="nil"/>
              <w:right w:val="nil"/>
            </w:tcBorders>
            <w:shd w:val="clear" w:color="auto" w:fill="CFD5EA"/>
            <w:tcMar>
              <w:top w:w="15" w:type="dxa"/>
              <w:left w:w="59" w:type="dxa"/>
              <w:bottom w:w="0" w:type="dxa"/>
              <w:right w:w="59" w:type="dxa"/>
            </w:tcMar>
            <w:vAlign w:val="center"/>
            <w:hideMark/>
          </w:tcPr>
          <w:p w14:paraId="1D0FC1E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+20,8</w:t>
            </w:r>
          </w:p>
        </w:tc>
        <w:tc>
          <w:tcPr>
            <w:tcW w:w="3718" w:type="dxa"/>
            <w:tcBorders>
              <w:top w:val="nil"/>
              <w:left w:val="nil"/>
              <w:bottom w:val="nil"/>
              <w:right w:val="nil"/>
            </w:tcBorders>
            <w:shd w:val="clear" w:color="auto" w:fill="CFD5EA"/>
            <w:tcMar>
              <w:top w:w="15" w:type="dxa"/>
              <w:left w:w="59" w:type="dxa"/>
              <w:bottom w:w="0" w:type="dxa"/>
              <w:right w:w="59" w:type="dxa"/>
            </w:tcMar>
            <w:vAlign w:val="center"/>
            <w:hideMark/>
          </w:tcPr>
          <w:p w14:paraId="008DB37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w:t>
            </w:r>
          </w:p>
        </w:tc>
      </w:tr>
      <w:tr w:rsidR="0067539F" w:rsidRPr="009A198B" w14:paraId="5FFBC796" w14:textId="77777777" w:rsidTr="00EA3256">
        <w:trPr>
          <w:trHeight w:val="721"/>
        </w:trPr>
        <w:tc>
          <w:tcPr>
            <w:tcW w:w="2230" w:type="dxa"/>
            <w:tcBorders>
              <w:top w:val="nil"/>
              <w:left w:val="nil"/>
              <w:bottom w:val="nil"/>
              <w:right w:val="nil"/>
            </w:tcBorders>
            <w:shd w:val="clear" w:color="auto" w:fill="E9EBF5"/>
            <w:tcMar>
              <w:top w:w="15" w:type="dxa"/>
              <w:left w:w="59" w:type="dxa"/>
              <w:bottom w:w="0" w:type="dxa"/>
              <w:right w:w="59" w:type="dxa"/>
            </w:tcMar>
            <w:hideMark/>
          </w:tcPr>
          <w:p w14:paraId="0342C5FA"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заробітна плата та нарахування</w:t>
            </w:r>
          </w:p>
        </w:tc>
        <w:tc>
          <w:tcPr>
            <w:tcW w:w="1506" w:type="dxa"/>
            <w:tcBorders>
              <w:top w:val="nil"/>
              <w:left w:val="nil"/>
              <w:bottom w:val="nil"/>
              <w:right w:val="nil"/>
            </w:tcBorders>
            <w:shd w:val="clear" w:color="auto" w:fill="E9EBF5"/>
            <w:tcMar>
              <w:top w:w="15" w:type="dxa"/>
              <w:left w:w="59" w:type="dxa"/>
              <w:bottom w:w="0" w:type="dxa"/>
              <w:right w:w="59" w:type="dxa"/>
            </w:tcMar>
            <w:vAlign w:val="center"/>
            <w:hideMark/>
          </w:tcPr>
          <w:p w14:paraId="33B1AD23"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140 578,1</w:t>
            </w:r>
          </w:p>
        </w:tc>
        <w:tc>
          <w:tcPr>
            <w:tcW w:w="1509" w:type="dxa"/>
            <w:tcBorders>
              <w:top w:val="nil"/>
              <w:left w:val="nil"/>
              <w:bottom w:val="nil"/>
              <w:right w:val="nil"/>
            </w:tcBorders>
            <w:shd w:val="clear" w:color="auto" w:fill="E9EBF5"/>
            <w:tcMar>
              <w:top w:w="15" w:type="dxa"/>
              <w:left w:w="59" w:type="dxa"/>
              <w:bottom w:w="0" w:type="dxa"/>
              <w:right w:w="59" w:type="dxa"/>
            </w:tcMar>
            <w:vAlign w:val="center"/>
            <w:hideMark/>
          </w:tcPr>
          <w:p w14:paraId="424BDCB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141 716,9</w:t>
            </w:r>
          </w:p>
        </w:tc>
        <w:tc>
          <w:tcPr>
            <w:tcW w:w="1527" w:type="dxa"/>
            <w:tcBorders>
              <w:top w:val="nil"/>
              <w:left w:val="nil"/>
              <w:bottom w:val="nil"/>
              <w:right w:val="nil"/>
            </w:tcBorders>
            <w:shd w:val="clear" w:color="auto" w:fill="E9EBF5"/>
            <w:tcMar>
              <w:top w:w="15" w:type="dxa"/>
              <w:left w:w="59" w:type="dxa"/>
              <w:bottom w:w="0" w:type="dxa"/>
              <w:right w:w="59" w:type="dxa"/>
            </w:tcMar>
            <w:vAlign w:val="center"/>
            <w:hideMark/>
          </w:tcPr>
          <w:p w14:paraId="735FA13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+0,8</w:t>
            </w:r>
          </w:p>
        </w:tc>
        <w:tc>
          <w:tcPr>
            <w:tcW w:w="3718" w:type="dxa"/>
            <w:tcBorders>
              <w:top w:val="nil"/>
              <w:left w:val="nil"/>
              <w:bottom w:val="nil"/>
              <w:right w:val="nil"/>
            </w:tcBorders>
            <w:shd w:val="clear" w:color="auto" w:fill="E9EBF5"/>
            <w:tcMar>
              <w:top w:w="15" w:type="dxa"/>
              <w:left w:w="59" w:type="dxa"/>
              <w:bottom w:w="0" w:type="dxa"/>
              <w:right w:w="59" w:type="dxa"/>
            </w:tcMar>
            <w:vAlign w:val="center"/>
            <w:hideMark/>
          </w:tcPr>
          <w:p w14:paraId="36B8860F"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У 2023 році було скорочено 56 штатних посад (в т.ч.: лікарів- 2 шт. од., сестри медичні – 24 шт. од., молодші сестри медичні – 30 шт. од.). У 2024 році мінімальна заробітна плата становила: з 01.01.24-31.03.2024 – 7100,00 грн, з 01.04.24-.31.1224 – 8000,00 грн.</w:t>
            </w:r>
          </w:p>
        </w:tc>
      </w:tr>
      <w:tr w:rsidR="0067539F" w:rsidRPr="009A198B" w14:paraId="1756103F" w14:textId="77777777" w:rsidTr="00EA3256">
        <w:trPr>
          <w:trHeight w:val="794"/>
        </w:trPr>
        <w:tc>
          <w:tcPr>
            <w:tcW w:w="2230" w:type="dxa"/>
            <w:tcBorders>
              <w:top w:val="nil"/>
              <w:left w:val="nil"/>
              <w:bottom w:val="nil"/>
              <w:right w:val="nil"/>
            </w:tcBorders>
            <w:shd w:val="clear" w:color="auto" w:fill="CFD5EA"/>
            <w:tcMar>
              <w:top w:w="15" w:type="dxa"/>
              <w:left w:w="59" w:type="dxa"/>
              <w:bottom w:w="0" w:type="dxa"/>
              <w:right w:w="59" w:type="dxa"/>
            </w:tcMar>
            <w:hideMark/>
          </w:tcPr>
          <w:p w14:paraId="5924B309"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w:t>
            </w:r>
          </w:p>
          <w:p w14:paraId="6FF54F89"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предмети та матеріали</w:t>
            </w:r>
          </w:p>
        </w:tc>
        <w:tc>
          <w:tcPr>
            <w:tcW w:w="1506" w:type="dxa"/>
            <w:tcBorders>
              <w:top w:val="nil"/>
              <w:left w:val="nil"/>
              <w:bottom w:val="nil"/>
              <w:right w:val="nil"/>
            </w:tcBorders>
            <w:shd w:val="clear" w:color="auto" w:fill="CFD5EA"/>
            <w:tcMar>
              <w:top w:w="15" w:type="dxa"/>
              <w:left w:w="59" w:type="dxa"/>
              <w:bottom w:w="0" w:type="dxa"/>
              <w:right w:w="59" w:type="dxa"/>
            </w:tcMar>
            <w:vAlign w:val="center"/>
            <w:hideMark/>
          </w:tcPr>
          <w:p w14:paraId="30F930DC"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1 995,6</w:t>
            </w:r>
          </w:p>
        </w:tc>
        <w:tc>
          <w:tcPr>
            <w:tcW w:w="1509" w:type="dxa"/>
            <w:tcBorders>
              <w:top w:val="nil"/>
              <w:left w:val="nil"/>
              <w:bottom w:val="nil"/>
              <w:right w:val="nil"/>
            </w:tcBorders>
            <w:shd w:val="clear" w:color="auto" w:fill="CFD5EA"/>
            <w:tcMar>
              <w:top w:w="15" w:type="dxa"/>
              <w:left w:w="59" w:type="dxa"/>
              <w:bottom w:w="0" w:type="dxa"/>
              <w:right w:w="59" w:type="dxa"/>
            </w:tcMar>
            <w:vAlign w:val="center"/>
            <w:hideMark/>
          </w:tcPr>
          <w:p w14:paraId="62D42596"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2539,7</w:t>
            </w:r>
          </w:p>
        </w:tc>
        <w:tc>
          <w:tcPr>
            <w:tcW w:w="1527" w:type="dxa"/>
            <w:tcBorders>
              <w:top w:val="nil"/>
              <w:left w:val="nil"/>
              <w:bottom w:val="nil"/>
              <w:right w:val="nil"/>
            </w:tcBorders>
            <w:shd w:val="clear" w:color="auto" w:fill="CFD5EA"/>
            <w:tcMar>
              <w:top w:w="15" w:type="dxa"/>
              <w:left w:w="59" w:type="dxa"/>
              <w:bottom w:w="0" w:type="dxa"/>
              <w:right w:w="59" w:type="dxa"/>
            </w:tcMar>
            <w:vAlign w:val="center"/>
            <w:hideMark/>
          </w:tcPr>
          <w:p w14:paraId="7FB2D82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+27,2</w:t>
            </w:r>
          </w:p>
        </w:tc>
        <w:tc>
          <w:tcPr>
            <w:tcW w:w="3718" w:type="dxa"/>
            <w:tcBorders>
              <w:top w:val="nil"/>
              <w:left w:val="nil"/>
              <w:bottom w:val="nil"/>
              <w:right w:val="nil"/>
            </w:tcBorders>
            <w:shd w:val="clear" w:color="auto" w:fill="CFD5EA"/>
            <w:tcMar>
              <w:top w:w="15" w:type="dxa"/>
              <w:left w:w="59" w:type="dxa"/>
              <w:bottom w:w="0" w:type="dxa"/>
              <w:right w:w="59" w:type="dxa"/>
            </w:tcMar>
            <w:vAlign w:val="center"/>
            <w:hideMark/>
          </w:tcPr>
          <w:p w14:paraId="0B1A9F18"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Збільшення витрат зумовлено зростанням цін на товари, проведеними поточними ремонтами сховища, підвалів, палат та ін.</w:t>
            </w:r>
          </w:p>
        </w:tc>
      </w:tr>
      <w:tr w:rsidR="0067539F" w:rsidRPr="009A198B" w14:paraId="088B4F6F" w14:textId="77777777" w:rsidTr="00EA3256">
        <w:tc>
          <w:tcPr>
            <w:tcW w:w="2230" w:type="dxa"/>
            <w:tcBorders>
              <w:top w:val="nil"/>
              <w:left w:val="nil"/>
              <w:bottom w:val="nil"/>
              <w:right w:val="nil"/>
            </w:tcBorders>
            <w:shd w:val="clear" w:color="auto" w:fill="E9EBF5"/>
            <w:tcMar>
              <w:top w:w="15" w:type="dxa"/>
              <w:left w:w="59" w:type="dxa"/>
              <w:bottom w:w="0" w:type="dxa"/>
              <w:right w:w="59" w:type="dxa"/>
            </w:tcMar>
            <w:vAlign w:val="center"/>
            <w:hideMark/>
          </w:tcPr>
          <w:p w14:paraId="5BBA0106"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медикаменти та медичні вироби</w:t>
            </w:r>
          </w:p>
        </w:tc>
        <w:tc>
          <w:tcPr>
            <w:tcW w:w="1506" w:type="dxa"/>
            <w:tcBorders>
              <w:top w:val="nil"/>
              <w:left w:val="nil"/>
              <w:bottom w:val="nil"/>
              <w:right w:val="nil"/>
            </w:tcBorders>
            <w:shd w:val="clear" w:color="auto" w:fill="E9EBF5"/>
            <w:tcMar>
              <w:top w:w="15" w:type="dxa"/>
              <w:left w:w="59" w:type="dxa"/>
              <w:bottom w:w="0" w:type="dxa"/>
              <w:right w:w="59" w:type="dxa"/>
            </w:tcMar>
            <w:vAlign w:val="center"/>
            <w:hideMark/>
          </w:tcPr>
          <w:p w14:paraId="131CFA6B" w14:textId="49EFA37C" w:rsidR="0067539F" w:rsidRPr="0067539F" w:rsidRDefault="0067539F" w:rsidP="000371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35 974,1</w:t>
            </w:r>
          </w:p>
        </w:tc>
        <w:tc>
          <w:tcPr>
            <w:tcW w:w="1509" w:type="dxa"/>
            <w:tcBorders>
              <w:top w:val="nil"/>
              <w:left w:val="nil"/>
              <w:bottom w:val="nil"/>
              <w:right w:val="nil"/>
            </w:tcBorders>
            <w:shd w:val="clear" w:color="auto" w:fill="E9EBF5"/>
            <w:tcMar>
              <w:top w:w="15" w:type="dxa"/>
              <w:left w:w="59" w:type="dxa"/>
              <w:bottom w:w="0" w:type="dxa"/>
              <w:right w:w="59" w:type="dxa"/>
            </w:tcMar>
            <w:vAlign w:val="center"/>
            <w:hideMark/>
          </w:tcPr>
          <w:p w14:paraId="59BF9BA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74 307,0</w:t>
            </w:r>
          </w:p>
        </w:tc>
        <w:tc>
          <w:tcPr>
            <w:tcW w:w="1527" w:type="dxa"/>
            <w:tcBorders>
              <w:top w:val="nil"/>
              <w:left w:val="nil"/>
              <w:bottom w:val="nil"/>
              <w:right w:val="nil"/>
            </w:tcBorders>
            <w:shd w:val="clear" w:color="auto" w:fill="E9EBF5"/>
            <w:tcMar>
              <w:top w:w="15" w:type="dxa"/>
              <w:left w:w="59" w:type="dxa"/>
              <w:bottom w:w="0" w:type="dxa"/>
              <w:right w:w="59" w:type="dxa"/>
            </w:tcMar>
            <w:vAlign w:val="center"/>
            <w:hideMark/>
          </w:tcPr>
          <w:p w14:paraId="26C466FC"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+106,6</w:t>
            </w:r>
          </w:p>
        </w:tc>
        <w:tc>
          <w:tcPr>
            <w:tcW w:w="3718" w:type="dxa"/>
            <w:tcBorders>
              <w:top w:val="nil"/>
              <w:left w:val="nil"/>
              <w:bottom w:val="nil"/>
              <w:right w:val="nil"/>
            </w:tcBorders>
            <w:shd w:val="clear" w:color="auto" w:fill="E9EBF5"/>
            <w:tcMar>
              <w:top w:w="15" w:type="dxa"/>
              <w:left w:w="59" w:type="dxa"/>
              <w:bottom w:w="0" w:type="dxa"/>
              <w:right w:w="59" w:type="dxa"/>
            </w:tcMar>
            <w:vAlign w:val="center"/>
            <w:hideMark/>
          </w:tcPr>
          <w:p w14:paraId="57AFA64A" w14:textId="77777777" w:rsidR="0067539F" w:rsidRPr="0067539F" w:rsidRDefault="0067539F" w:rsidP="009A198B">
            <w:pPr>
              <w:spacing w:after="0" w:line="240" w:lineRule="auto"/>
              <w:jc w:val="both"/>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Запровадження міжнародних медичних протоколів. Збільшення відбулось за рахунок того, що у 2024 році в лікарні створено Орфанний центр і лікарня отримує дороговартісні ліки з державного бюджету на лікування рідкісних захворювань.</w:t>
            </w:r>
          </w:p>
        </w:tc>
      </w:tr>
      <w:tr w:rsidR="0067539F" w:rsidRPr="009A198B" w14:paraId="4283C4CA" w14:textId="77777777" w:rsidTr="00EA3256">
        <w:trPr>
          <w:trHeight w:val="1311"/>
        </w:trPr>
        <w:tc>
          <w:tcPr>
            <w:tcW w:w="2230" w:type="dxa"/>
            <w:tcBorders>
              <w:top w:val="nil"/>
              <w:left w:val="nil"/>
              <w:bottom w:val="nil"/>
              <w:right w:val="nil"/>
            </w:tcBorders>
            <w:shd w:val="clear" w:color="auto" w:fill="CFD5EA"/>
            <w:tcMar>
              <w:top w:w="15" w:type="dxa"/>
              <w:left w:w="59" w:type="dxa"/>
              <w:bottom w:w="0" w:type="dxa"/>
              <w:right w:w="59" w:type="dxa"/>
            </w:tcMar>
            <w:hideMark/>
          </w:tcPr>
          <w:p w14:paraId="6373140A"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продукти харчування</w:t>
            </w:r>
          </w:p>
          <w:p w14:paraId="50D49EBF" w14:textId="77777777" w:rsidR="0067539F" w:rsidRPr="0067539F" w:rsidRDefault="0067539F" w:rsidP="009A198B">
            <w:pPr>
              <w:spacing w:after="0" w:line="240" w:lineRule="auto"/>
              <w:jc w:val="right"/>
              <w:rPr>
                <w:rFonts w:ascii="Verdana" w:eastAsia="Times New Roman" w:hAnsi="Verdana" w:cs="Arial"/>
                <w:sz w:val="20"/>
                <w:szCs w:val="20"/>
                <w:lang w:eastAsia="uk-UA"/>
              </w:rPr>
            </w:pPr>
            <w:r w:rsidRPr="0067539F">
              <w:rPr>
                <w:rFonts w:ascii="Verdana" w:eastAsia="Times New Roman" w:hAnsi="Verdana" w:cs="Calibri"/>
                <w:i/>
                <w:iCs/>
                <w:color w:val="000000" w:themeColor="dark1"/>
                <w:kern w:val="24"/>
                <w:sz w:val="20"/>
                <w:szCs w:val="20"/>
                <w:lang w:eastAsia="uk-UA"/>
              </w:rPr>
              <w:t>витрати на 1 ліжко-день по харчуванню</w:t>
            </w:r>
          </w:p>
        </w:tc>
        <w:tc>
          <w:tcPr>
            <w:tcW w:w="1506" w:type="dxa"/>
            <w:tcBorders>
              <w:top w:val="nil"/>
              <w:left w:val="nil"/>
              <w:bottom w:val="nil"/>
              <w:right w:val="nil"/>
            </w:tcBorders>
            <w:shd w:val="clear" w:color="auto" w:fill="CFD5EA"/>
            <w:tcMar>
              <w:top w:w="15" w:type="dxa"/>
              <w:left w:w="59" w:type="dxa"/>
              <w:bottom w:w="0" w:type="dxa"/>
              <w:right w:w="59" w:type="dxa"/>
            </w:tcMar>
            <w:hideMark/>
          </w:tcPr>
          <w:p w14:paraId="07DADA6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5 758,4</w:t>
            </w:r>
          </w:p>
          <w:p w14:paraId="34272A6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FF0000"/>
                <w:kern w:val="24"/>
                <w:sz w:val="20"/>
                <w:szCs w:val="20"/>
                <w:lang w:eastAsia="uk-UA"/>
              </w:rPr>
              <w:t>(79,30 грн)</w:t>
            </w:r>
          </w:p>
          <w:p w14:paraId="5D92DAD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000000" w:themeColor="dark1"/>
                <w:kern w:val="24"/>
                <w:sz w:val="20"/>
                <w:szCs w:val="20"/>
                <w:lang w:eastAsia="uk-UA"/>
              </w:rPr>
              <w:t> </w:t>
            </w:r>
          </w:p>
        </w:tc>
        <w:tc>
          <w:tcPr>
            <w:tcW w:w="1509" w:type="dxa"/>
            <w:tcBorders>
              <w:top w:val="nil"/>
              <w:left w:val="nil"/>
              <w:bottom w:val="nil"/>
              <w:right w:val="nil"/>
            </w:tcBorders>
            <w:shd w:val="clear" w:color="auto" w:fill="CFD5EA"/>
            <w:tcMar>
              <w:top w:w="15" w:type="dxa"/>
              <w:left w:w="59" w:type="dxa"/>
              <w:bottom w:w="0" w:type="dxa"/>
              <w:right w:w="59" w:type="dxa"/>
            </w:tcMar>
            <w:hideMark/>
          </w:tcPr>
          <w:p w14:paraId="65E1EB4D"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 6 393,8</w:t>
            </w:r>
          </w:p>
          <w:p w14:paraId="270CE595"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FF0000"/>
                <w:kern w:val="24"/>
                <w:sz w:val="20"/>
                <w:szCs w:val="20"/>
                <w:lang w:eastAsia="uk-UA"/>
              </w:rPr>
              <w:t>(83,49 грн)</w:t>
            </w:r>
          </w:p>
          <w:p w14:paraId="34D03B3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000000" w:themeColor="dark1"/>
                <w:kern w:val="24"/>
                <w:sz w:val="20"/>
                <w:szCs w:val="20"/>
                <w:lang w:eastAsia="uk-UA"/>
              </w:rPr>
              <w:t> </w:t>
            </w:r>
          </w:p>
        </w:tc>
        <w:tc>
          <w:tcPr>
            <w:tcW w:w="1527" w:type="dxa"/>
            <w:tcBorders>
              <w:top w:val="nil"/>
              <w:left w:val="nil"/>
              <w:bottom w:val="nil"/>
              <w:right w:val="nil"/>
            </w:tcBorders>
            <w:shd w:val="clear" w:color="auto" w:fill="CFD5EA"/>
            <w:tcMar>
              <w:top w:w="15" w:type="dxa"/>
              <w:left w:w="59" w:type="dxa"/>
              <w:bottom w:w="0" w:type="dxa"/>
              <w:right w:w="59" w:type="dxa"/>
            </w:tcMar>
            <w:hideMark/>
          </w:tcPr>
          <w:p w14:paraId="337CFF75"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+11,0</w:t>
            </w:r>
          </w:p>
          <w:p w14:paraId="69A765B9"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000000" w:themeColor="dark1"/>
                <w:kern w:val="24"/>
                <w:sz w:val="20"/>
                <w:szCs w:val="20"/>
                <w:lang w:eastAsia="uk-UA"/>
              </w:rPr>
              <w:t>+5,3</w:t>
            </w:r>
          </w:p>
          <w:p w14:paraId="55F6542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i/>
                <w:iCs/>
                <w:color w:val="000000" w:themeColor="dark1"/>
                <w:kern w:val="24"/>
                <w:sz w:val="20"/>
                <w:szCs w:val="20"/>
                <w:lang w:eastAsia="uk-UA"/>
              </w:rPr>
              <w:t> </w:t>
            </w:r>
          </w:p>
        </w:tc>
        <w:tc>
          <w:tcPr>
            <w:tcW w:w="3718" w:type="dxa"/>
            <w:tcBorders>
              <w:top w:val="nil"/>
              <w:left w:val="nil"/>
              <w:bottom w:val="nil"/>
              <w:right w:val="nil"/>
            </w:tcBorders>
            <w:shd w:val="clear" w:color="auto" w:fill="CFD5EA"/>
            <w:tcMar>
              <w:top w:w="15" w:type="dxa"/>
              <w:left w:w="59" w:type="dxa"/>
              <w:bottom w:w="0" w:type="dxa"/>
              <w:right w:w="59" w:type="dxa"/>
            </w:tcMar>
            <w:vAlign w:val="center"/>
            <w:hideMark/>
          </w:tcPr>
          <w:p w14:paraId="66075639" w14:textId="77777777" w:rsidR="0067539F" w:rsidRPr="0067539F" w:rsidRDefault="0067539F" w:rsidP="009A198B">
            <w:pPr>
              <w:spacing w:after="0" w:line="240" w:lineRule="auto"/>
              <w:jc w:val="both"/>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У 2024 році фактично проведені ліжко-дні збільшились на 105,4 % у порівнянні з минулим роком. Упродовж 2024 року збільшувались ціни на продукти харчування.</w:t>
            </w:r>
          </w:p>
        </w:tc>
      </w:tr>
      <w:tr w:rsidR="0067539F" w:rsidRPr="009A198B" w14:paraId="5986AE94" w14:textId="77777777" w:rsidTr="00EA3256">
        <w:trPr>
          <w:trHeight w:val="1361"/>
        </w:trPr>
        <w:tc>
          <w:tcPr>
            <w:tcW w:w="2230" w:type="dxa"/>
            <w:tcBorders>
              <w:top w:val="nil"/>
              <w:left w:val="nil"/>
              <w:bottom w:val="nil"/>
              <w:right w:val="nil"/>
            </w:tcBorders>
            <w:shd w:val="clear" w:color="auto" w:fill="E9EBF5"/>
            <w:tcMar>
              <w:top w:w="15" w:type="dxa"/>
              <w:left w:w="59" w:type="dxa"/>
              <w:bottom w:w="0" w:type="dxa"/>
              <w:right w:w="59" w:type="dxa"/>
            </w:tcMar>
            <w:hideMark/>
          </w:tcPr>
          <w:p w14:paraId="54214B6E"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 послуги (крім комунальних)</w:t>
            </w:r>
          </w:p>
        </w:tc>
        <w:tc>
          <w:tcPr>
            <w:tcW w:w="1506" w:type="dxa"/>
            <w:tcBorders>
              <w:top w:val="nil"/>
              <w:left w:val="nil"/>
              <w:bottom w:val="nil"/>
              <w:right w:val="nil"/>
            </w:tcBorders>
            <w:shd w:val="clear" w:color="auto" w:fill="E9EBF5"/>
            <w:tcMar>
              <w:top w:w="15" w:type="dxa"/>
              <w:left w:w="59" w:type="dxa"/>
              <w:bottom w:w="0" w:type="dxa"/>
              <w:right w:w="59" w:type="dxa"/>
            </w:tcMar>
            <w:vAlign w:val="center"/>
            <w:hideMark/>
          </w:tcPr>
          <w:p w14:paraId="1C5790D5"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6 295,7</w:t>
            </w:r>
          </w:p>
        </w:tc>
        <w:tc>
          <w:tcPr>
            <w:tcW w:w="1509" w:type="dxa"/>
            <w:tcBorders>
              <w:top w:val="nil"/>
              <w:left w:val="nil"/>
              <w:bottom w:val="nil"/>
              <w:right w:val="nil"/>
            </w:tcBorders>
            <w:shd w:val="clear" w:color="auto" w:fill="E9EBF5"/>
            <w:tcMar>
              <w:top w:w="15" w:type="dxa"/>
              <w:left w:w="59" w:type="dxa"/>
              <w:bottom w:w="0" w:type="dxa"/>
              <w:right w:w="59" w:type="dxa"/>
            </w:tcMar>
            <w:vAlign w:val="center"/>
            <w:hideMark/>
          </w:tcPr>
          <w:p w14:paraId="665BF4F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4 482,5</w:t>
            </w:r>
          </w:p>
        </w:tc>
        <w:tc>
          <w:tcPr>
            <w:tcW w:w="1527" w:type="dxa"/>
            <w:tcBorders>
              <w:top w:val="nil"/>
              <w:left w:val="nil"/>
              <w:bottom w:val="nil"/>
              <w:right w:val="nil"/>
            </w:tcBorders>
            <w:shd w:val="clear" w:color="auto" w:fill="E9EBF5"/>
            <w:tcMar>
              <w:top w:w="15" w:type="dxa"/>
              <w:left w:w="59" w:type="dxa"/>
              <w:bottom w:w="0" w:type="dxa"/>
              <w:right w:w="59" w:type="dxa"/>
            </w:tcMar>
            <w:vAlign w:val="center"/>
            <w:hideMark/>
          </w:tcPr>
          <w:p w14:paraId="70D2CEA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-28,8</w:t>
            </w:r>
          </w:p>
        </w:tc>
        <w:tc>
          <w:tcPr>
            <w:tcW w:w="3718" w:type="dxa"/>
            <w:tcBorders>
              <w:top w:val="nil"/>
              <w:left w:val="nil"/>
              <w:bottom w:val="nil"/>
              <w:right w:val="nil"/>
            </w:tcBorders>
            <w:shd w:val="clear" w:color="auto" w:fill="E9EBF5"/>
            <w:tcMar>
              <w:top w:w="15" w:type="dxa"/>
              <w:left w:w="59" w:type="dxa"/>
              <w:bottom w:w="0" w:type="dxa"/>
              <w:right w:w="59" w:type="dxa"/>
            </w:tcMar>
            <w:vAlign w:val="center"/>
            <w:hideMark/>
          </w:tcPr>
          <w:p w14:paraId="624DB0DB"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Витрати зменшились у зв'язку з тим, що у 2023 році було проведено поточні ремонти санвузлів, виготовлено ПКД по капітальному ремонту даху (усунення аварійної ситуації) поліклініки та головного корпусу, обстеження технічного стану будівель, поточні ремонти приміщень.</w:t>
            </w:r>
          </w:p>
        </w:tc>
      </w:tr>
      <w:tr w:rsidR="0067539F" w:rsidRPr="009A198B" w14:paraId="60F93CBF" w14:textId="77777777" w:rsidTr="00EA3256">
        <w:trPr>
          <w:trHeight w:val="680"/>
        </w:trPr>
        <w:tc>
          <w:tcPr>
            <w:tcW w:w="2230" w:type="dxa"/>
            <w:tcBorders>
              <w:top w:val="nil"/>
              <w:left w:val="nil"/>
              <w:bottom w:val="nil"/>
              <w:right w:val="nil"/>
            </w:tcBorders>
            <w:shd w:val="clear" w:color="auto" w:fill="CFD5EA"/>
            <w:tcMar>
              <w:top w:w="15" w:type="dxa"/>
              <w:left w:w="59" w:type="dxa"/>
              <w:bottom w:w="0" w:type="dxa"/>
              <w:right w:w="59" w:type="dxa"/>
            </w:tcMar>
            <w:hideMark/>
          </w:tcPr>
          <w:p w14:paraId="1EE4489F"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комунальні послуги та енергоносії</w:t>
            </w:r>
          </w:p>
        </w:tc>
        <w:tc>
          <w:tcPr>
            <w:tcW w:w="1506" w:type="dxa"/>
            <w:tcBorders>
              <w:top w:val="nil"/>
              <w:left w:val="nil"/>
              <w:bottom w:val="nil"/>
              <w:right w:val="nil"/>
            </w:tcBorders>
            <w:shd w:val="clear" w:color="auto" w:fill="CFD5EA"/>
            <w:tcMar>
              <w:top w:w="15" w:type="dxa"/>
              <w:left w:w="59" w:type="dxa"/>
              <w:bottom w:w="0" w:type="dxa"/>
              <w:right w:w="59" w:type="dxa"/>
            </w:tcMar>
            <w:vAlign w:val="center"/>
            <w:hideMark/>
          </w:tcPr>
          <w:p w14:paraId="36C2C1F8"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8 630,5</w:t>
            </w:r>
          </w:p>
        </w:tc>
        <w:tc>
          <w:tcPr>
            <w:tcW w:w="1509" w:type="dxa"/>
            <w:tcBorders>
              <w:top w:val="nil"/>
              <w:left w:val="nil"/>
              <w:bottom w:val="nil"/>
              <w:right w:val="nil"/>
            </w:tcBorders>
            <w:shd w:val="clear" w:color="auto" w:fill="CFD5EA"/>
            <w:tcMar>
              <w:top w:w="15" w:type="dxa"/>
              <w:left w:w="59" w:type="dxa"/>
              <w:bottom w:w="0" w:type="dxa"/>
              <w:right w:w="59" w:type="dxa"/>
            </w:tcMar>
            <w:vAlign w:val="center"/>
            <w:hideMark/>
          </w:tcPr>
          <w:p w14:paraId="6898288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9 237,5</w:t>
            </w:r>
          </w:p>
        </w:tc>
        <w:tc>
          <w:tcPr>
            <w:tcW w:w="1527" w:type="dxa"/>
            <w:tcBorders>
              <w:top w:val="nil"/>
              <w:left w:val="nil"/>
              <w:bottom w:val="nil"/>
              <w:right w:val="nil"/>
            </w:tcBorders>
            <w:shd w:val="clear" w:color="auto" w:fill="CFD5EA"/>
            <w:tcMar>
              <w:top w:w="15" w:type="dxa"/>
              <w:left w:w="59" w:type="dxa"/>
              <w:bottom w:w="0" w:type="dxa"/>
              <w:right w:w="59" w:type="dxa"/>
            </w:tcMar>
            <w:vAlign w:val="center"/>
            <w:hideMark/>
          </w:tcPr>
          <w:p w14:paraId="3056956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+7,0</w:t>
            </w:r>
          </w:p>
        </w:tc>
        <w:tc>
          <w:tcPr>
            <w:tcW w:w="3718" w:type="dxa"/>
            <w:tcBorders>
              <w:top w:val="nil"/>
              <w:left w:val="nil"/>
              <w:bottom w:val="nil"/>
              <w:right w:val="nil"/>
            </w:tcBorders>
            <w:shd w:val="clear" w:color="auto" w:fill="CFD5EA"/>
            <w:tcMar>
              <w:top w:w="15" w:type="dxa"/>
              <w:left w:w="59" w:type="dxa"/>
              <w:bottom w:w="0" w:type="dxa"/>
              <w:right w:w="59" w:type="dxa"/>
            </w:tcMar>
            <w:vAlign w:val="center"/>
            <w:hideMark/>
          </w:tcPr>
          <w:p w14:paraId="04AFA27D"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Збільшення витрат зумовлено зростанням цін на енергоносії.</w:t>
            </w:r>
          </w:p>
        </w:tc>
      </w:tr>
      <w:tr w:rsidR="0067539F" w:rsidRPr="009A198B" w14:paraId="0E30FD65" w14:textId="77777777" w:rsidTr="00EA3256">
        <w:trPr>
          <w:trHeight w:val="342"/>
        </w:trPr>
        <w:tc>
          <w:tcPr>
            <w:tcW w:w="2230" w:type="dxa"/>
            <w:tcBorders>
              <w:top w:val="nil"/>
              <w:left w:val="nil"/>
              <w:bottom w:val="nil"/>
              <w:right w:val="nil"/>
            </w:tcBorders>
            <w:shd w:val="clear" w:color="auto" w:fill="E9EBF5"/>
            <w:tcMar>
              <w:top w:w="15" w:type="dxa"/>
              <w:left w:w="59" w:type="dxa"/>
              <w:bottom w:w="0" w:type="dxa"/>
              <w:right w:w="59" w:type="dxa"/>
            </w:tcMar>
            <w:hideMark/>
          </w:tcPr>
          <w:p w14:paraId="549C5316"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амортизація</w:t>
            </w:r>
          </w:p>
        </w:tc>
        <w:tc>
          <w:tcPr>
            <w:tcW w:w="1506" w:type="dxa"/>
            <w:tcBorders>
              <w:top w:val="nil"/>
              <w:left w:val="nil"/>
              <w:bottom w:val="nil"/>
              <w:right w:val="nil"/>
            </w:tcBorders>
            <w:shd w:val="clear" w:color="auto" w:fill="E9EBF5"/>
            <w:tcMar>
              <w:top w:w="15" w:type="dxa"/>
              <w:left w:w="59" w:type="dxa"/>
              <w:bottom w:w="0" w:type="dxa"/>
              <w:right w:w="59" w:type="dxa"/>
            </w:tcMar>
            <w:vAlign w:val="center"/>
            <w:hideMark/>
          </w:tcPr>
          <w:p w14:paraId="0C2C5BD2"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13 084,7</w:t>
            </w:r>
          </w:p>
        </w:tc>
        <w:tc>
          <w:tcPr>
            <w:tcW w:w="1509" w:type="dxa"/>
            <w:tcBorders>
              <w:top w:val="nil"/>
              <w:left w:val="nil"/>
              <w:bottom w:val="nil"/>
              <w:right w:val="nil"/>
            </w:tcBorders>
            <w:shd w:val="clear" w:color="auto" w:fill="E9EBF5"/>
            <w:tcMar>
              <w:top w:w="15" w:type="dxa"/>
              <w:left w:w="59" w:type="dxa"/>
              <w:bottom w:w="0" w:type="dxa"/>
              <w:right w:w="59" w:type="dxa"/>
            </w:tcMar>
            <w:vAlign w:val="center"/>
            <w:hideMark/>
          </w:tcPr>
          <w:p w14:paraId="1CCB3F3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17 939,3</w:t>
            </w:r>
          </w:p>
        </w:tc>
        <w:tc>
          <w:tcPr>
            <w:tcW w:w="1527" w:type="dxa"/>
            <w:tcBorders>
              <w:top w:val="nil"/>
              <w:left w:val="nil"/>
              <w:bottom w:val="nil"/>
              <w:right w:val="nil"/>
            </w:tcBorders>
            <w:shd w:val="clear" w:color="auto" w:fill="E9EBF5"/>
            <w:tcMar>
              <w:top w:w="15" w:type="dxa"/>
              <w:left w:w="59" w:type="dxa"/>
              <w:bottom w:w="0" w:type="dxa"/>
              <w:right w:w="59" w:type="dxa"/>
            </w:tcMar>
            <w:vAlign w:val="center"/>
            <w:hideMark/>
          </w:tcPr>
          <w:p w14:paraId="3C43DB3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+37,1</w:t>
            </w:r>
          </w:p>
        </w:tc>
        <w:tc>
          <w:tcPr>
            <w:tcW w:w="3718" w:type="dxa"/>
            <w:tcBorders>
              <w:top w:val="nil"/>
              <w:left w:val="nil"/>
              <w:bottom w:val="nil"/>
              <w:right w:val="nil"/>
            </w:tcBorders>
            <w:shd w:val="clear" w:color="auto" w:fill="E9EBF5"/>
            <w:tcMar>
              <w:top w:w="15" w:type="dxa"/>
              <w:left w:w="59" w:type="dxa"/>
              <w:bottom w:w="0" w:type="dxa"/>
              <w:right w:w="59" w:type="dxa"/>
            </w:tcMar>
            <w:vAlign w:val="center"/>
            <w:hideMark/>
          </w:tcPr>
          <w:p w14:paraId="123ECC51"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Введено в експлуатацію основні засоби.</w:t>
            </w:r>
          </w:p>
        </w:tc>
      </w:tr>
      <w:tr w:rsidR="0067539F" w:rsidRPr="009A198B" w14:paraId="6952866D" w14:textId="77777777" w:rsidTr="00EA3256">
        <w:trPr>
          <w:trHeight w:val="342"/>
        </w:trPr>
        <w:tc>
          <w:tcPr>
            <w:tcW w:w="2230" w:type="dxa"/>
            <w:tcBorders>
              <w:top w:val="nil"/>
              <w:left w:val="nil"/>
              <w:bottom w:val="nil"/>
              <w:right w:val="nil"/>
            </w:tcBorders>
            <w:shd w:val="clear" w:color="auto" w:fill="CFD5EA"/>
            <w:tcMar>
              <w:top w:w="15" w:type="dxa"/>
              <w:left w:w="59" w:type="dxa"/>
              <w:bottom w:w="0" w:type="dxa"/>
              <w:right w:w="59" w:type="dxa"/>
            </w:tcMar>
            <w:hideMark/>
          </w:tcPr>
          <w:p w14:paraId="0875C77D"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b/>
                <w:bCs/>
                <w:color w:val="000000" w:themeColor="dark1"/>
                <w:kern w:val="24"/>
                <w:sz w:val="20"/>
                <w:szCs w:val="20"/>
                <w:lang w:eastAsia="uk-UA"/>
              </w:rPr>
              <w:t>інші витрати</w:t>
            </w:r>
          </w:p>
        </w:tc>
        <w:tc>
          <w:tcPr>
            <w:tcW w:w="1506" w:type="dxa"/>
            <w:tcBorders>
              <w:top w:val="nil"/>
              <w:left w:val="nil"/>
              <w:bottom w:val="nil"/>
              <w:right w:val="nil"/>
            </w:tcBorders>
            <w:shd w:val="clear" w:color="auto" w:fill="CFD5EA"/>
            <w:tcMar>
              <w:top w:w="15" w:type="dxa"/>
              <w:left w:w="59" w:type="dxa"/>
              <w:bottom w:w="0" w:type="dxa"/>
              <w:right w:w="59" w:type="dxa"/>
            </w:tcMar>
            <w:vAlign w:val="center"/>
            <w:hideMark/>
          </w:tcPr>
          <w:p w14:paraId="2972B7F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295,2</w:t>
            </w:r>
          </w:p>
        </w:tc>
        <w:tc>
          <w:tcPr>
            <w:tcW w:w="1509" w:type="dxa"/>
            <w:tcBorders>
              <w:top w:val="nil"/>
              <w:left w:val="nil"/>
              <w:bottom w:val="nil"/>
              <w:right w:val="nil"/>
            </w:tcBorders>
            <w:shd w:val="clear" w:color="auto" w:fill="CFD5EA"/>
            <w:tcMar>
              <w:top w:w="15" w:type="dxa"/>
              <w:left w:w="59" w:type="dxa"/>
              <w:bottom w:w="0" w:type="dxa"/>
              <w:right w:w="59" w:type="dxa"/>
            </w:tcMar>
            <w:vAlign w:val="center"/>
            <w:hideMark/>
          </w:tcPr>
          <w:p w14:paraId="31074E80"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220,1</w:t>
            </w:r>
          </w:p>
        </w:tc>
        <w:tc>
          <w:tcPr>
            <w:tcW w:w="1527" w:type="dxa"/>
            <w:tcBorders>
              <w:top w:val="nil"/>
              <w:left w:val="nil"/>
              <w:bottom w:val="nil"/>
              <w:right w:val="nil"/>
            </w:tcBorders>
            <w:shd w:val="clear" w:color="auto" w:fill="CFD5EA"/>
            <w:tcMar>
              <w:top w:w="15" w:type="dxa"/>
              <w:left w:w="59" w:type="dxa"/>
              <w:bottom w:w="0" w:type="dxa"/>
              <w:right w:w="59" w:type="dxa"/>
            </w:tcMar>
            <w:vAlign w:val="center"/>
            <w:hideMark/>
          </w:tcPr>
          <w:p w14:paraId="005B55F4"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-25,4</w:t>
            </w:r>
          </w:p>
        </w:tc>
        <w:tc>
          <w:tcPr>
            <w:tcW w:w="3718" w:type="dxa"/>
            <w:tcBorders>
              <w:top w:val="nil"/>
              <w:left w:val="nil"/>
              <w:bottom w:val="nil"/>
              <w:right w:val="nil"/>
            </w:tcBorders>
            <w:shd w:val="clear" w:color="auto" w:fill="CFD5EA"/>
            <w:tcMar>
              <w:top w:w="15" w:type="dxa"/>
              <w:left w:w="59" w:type="dxa"/>
              <w:bottom w:w="0" w:type="dxa"/>
              <w:right w:w="59" w:type="dxa"/>
            </w:tcMar>
            <w:vAlign w:val="center"/>
            <w:hideMark/>
          </w:tcPr>
          <w:p w14:paraId="4AFD0FC3"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Times New Roman" w:hAnsi="Verdana" w:cs="Calibri"/>
                <w:color w:val="000000" w:themeColor="dark1"/>
                <w:kern w:val="24"/>
                <w:sz w:val="20"/>
                <w:szCs w:val="20"/>
                <w:lang w:eastAsia="uk-UA"/>
              </w:rPr>
              <w:t>Списання основних засобів</w:t>
            </w:r>
          </w:p>
        </w:tc>
      </w:tr>
      <w:tr w:rsidR="0067539F" w:rsidRPr="009A198B" w14:paraId="386725D2" w14:textId="77777777" w:rsidTr="00EA3256">
        <w:trPr>
          <w:trHeight w:val="342"/>
        </w:trPr>
        <w:tc>
          <w:tcPr>
            <w:tcW w:w="2230" w:type="dxa"/>
            <w:tcBorders>
              <w:top w:val="nil"/>
              <w:left w:val="nil"/>
              <w:bottom w:val="nil"/>
              <w:right w:val="nil"/>
            </w:tcBorders>
            <w:shd w:val="clear" w:color="auto" w:fill="E9EBF5"/>
            <w:tcMar>
              <w:top w:w="15" w:type="dxa"/>
              <w:left w:w="59" w:type="dxa"/>
              <w:bottom w:w="0" w:type="dxa"/>
              <w:right w:w="59" w:type="dxa"/>
            </w:tcMar>
            <w:hideMark/>
          </w:tcPr>
          <w:p w14:paraId="1DFC02FA"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Andale Sans UI" w:hAnsi="Verdana" w:cs="Tahoma"/>
                <w:b/>
                <w:bCs/>
                <w:color w:val="000000" w:themeColor="dark1"/>
                <w:kern w:val="24"/>
                <w:sz w:val="20"/>
                <w:szCs w:val="20"/>
                <w:lang w:eastAsia="uk-UA"/>
              </w:rPr>
              <w:t>ФІНАНСОВИЙ РЕЗУЛЬТАТ</w:t>
            </w:r>
          </w:p>
        </w:tc>
        <w:tc>
          <w:tcPr>
            <w:tcW w:w="1506" w:type="dxa"/>
            <w:tcBorders>
              <w:top w:val="nil"/>
              <w:left w:val="nil"/>
              <w:bottom w:val="nil"/>
              <w:right w:val="nil"/>
            </w:tcBorders>
            <w:shd w:val="clear" w:color="auto" w:fill="E9EBF5"/>
            <w:tcMar>
              <w:top w:w="15" w:type="dxa"/>
              <w:left w:w="59" w:type="dxa"/>
              <w:bottom w:w="0" w:type="dxa"/>
              <w:right w:w="59" w:type="dxa"/>
            </w:tcMar>
            <w:vAlign w:val="center"/>
            <w:hideMark/>
          </w:tcPr>
          <w:p w14:paraId="680B0291"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+21 733,4</w:t>
            </w:r>
          </w:p>
        </w:tc>
        <w:tc>
          <w:tcPr>
            <w:tcW w:w="1509" w:type="dxa"/>
            <w:tcBorders>
              <w:top w:val="nil"/>
              <w:left w:val="nil"/>
              <w:bottom w:val="nil"/>
              <w:right w:val="nil"/>
            </w:tcBorders>
            <w:shd w:val="clear" w:color="auto" w:fill="E9EBF5"/>
            <w:tcMar>
              <w:top w:w="15" w:type="dxa"/>
              <w:left w:w="59" w:type="dxa"/>
              <w:bottom w:w="0" w:type="dxa"/>
              <w:right w:w="59" w:type="dxa"/>
            </w:tcMar>
            <w:vAlign w:val="center"/>
            <w:hideMark/>
          </w:tcPr>
          <w:p w14:paraId="096E550A"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+2 978,6</w:t>
            </w:r>
          </w:p>
        </w:tc>
        <w:tc>
          <w:tcPr>
            <w:tcW w:w="1527" w:type="dxa"/>
            <w:tcBorders>
              <w:top w:val="nil"/>
              <w:left w:val="nil"/>
              <w:bottom w:val="nil"/>
              <w:right w:val="nil"/>
            </w:tcBorders>
            <w:shd w:val="clear" w:color="auto" w:fill="E9EBF5"/>
            <w:tcMar>
              <w:top w:w="15" w:type="dxa"/>
              <w:left w:w="59" w:type="dxa"/>
              <w:bottom w:w="0" w:type="dxa"/>
              <w:right w:w="59" w:type="dxa"/>
            </w:tcMar>
            <w:vAlign w:val="center"/>
            <w:hideMark/>
          </w:tcPr>
          <w:p w14:paraId="68C1045F" w14:textId="77777777" w:rsidR="0067539F" w:rsidRPr="0067539F" w:rsidRDefault="0067539F" w:rsidP="009A198B">
            <w:pPr>
              <w:spacing w:after="0" w:line="240" w:lineRule="auto"/>
              <w:jc w:val="center"/>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-86,3</w:t>
            </w:r>
          </w:p>
        </w:tc>
        <w:tc>
          <w:tcPr>
            <w:tcW w:w="3718" w:type="dxa"/>
            <w:tcBorders>
              <w:top w:val="nil"/>
              <w:left w:val="nil"/>
              <w:bottom w:val="nil"/>
              <w:right w:val="nil"/>
            </w:tcBorders>
            <w:shd w:val="clear" w:color="auto" w:fill="E9EBF5"/>
            <w:tcMar>
              <w:top w:w="15" w:type="dxa"/>
              <w:left w:w="59" w:type="dxa"/>
              <w:bottom w:w="0" w:type="dxa"/>
              <w:right w:w="59" w:type="dxa"/>
            </w:tcMar>
            <w:vAlign w:val="center"/>
            <w:hideMark/>
          </w:tcPr>
          <w:p w14:paraId="4FD1A300" w14:textId="77777777" w:rsidR="0067539F" w:rsidRPr="0067539F" w:rsidRDefault="0067539F" w:rsidP="009A198B">
            <w:pPr>
              <w:spacing w:after="0" w:line="240" w:lineRule="auto"/>
              <w:rPr>
                <w:rFonts w:ascii="Verdana" w:eastAsia="Times New Roman" w:hAnsi="Verdana" w:cs="Arial"/>
                <w:sz w:val="20"/>
                <w:szCs w:val="20"/>
                <w:lang w:eastAsia="uk-UA"/>
              </w:rPr>
            </w:pPr>
            <w:r w:rsidRPr="0067539F">
              <w:rPr>
                <w:rFonts w:ascii="Verdana" w:eastAsia="Andale Sans UI" w:hAnsi="Verdana" w:cs="Tahoma"/>
                <w:color w:val="000000" w:themeColor="dark1"/>
                <w:kern w:val="24"/>
                <w:sz w:val="20"/>
                <w:szCs w:val="20"/>
                <w:lang w:eastAsia="uk-UA"/>
              </w:rPr>
              <w:t xml:space="preserve">Зменшення прибутку пов'язано із зменшенням суми договору з НСЗУ на 2024 рік, а також отриманням фінансової підтримки з місцевого бюджету у 2023 на </w:t>
            </w:r>
            <w:r w:rsidRPr="0067539F">
              <w:rPr>
                <w:rFonts w:ascii="Verdana" w:eastAsia="Andale Sans UI" w:hAnsi="Verdana" w:cs="Tahoma"/>
                <w:color w:val="000000" w:themeColor="dark1"/>
                <w:kern w:val="24"/>
                <w:sz w:val="20"/>
                <w:szCs w:val="20"/>
                <w:lang w:eastAsia="uk-UA"/>
              </w:rPr>
              <w:lastRenderedPageBreak/>
              <w:t>о</w:t>
            </w:r>
            <w:r w:rsidRPr="0067539F">
              <w:rPr>
                <w:rFonts w:ascii="Verdana" w:eastAsia="Times New Roman" w:hAnsi="Verdana" w:cs="Calibri"/>
                <w:color w:val="000000" w:themeColor="dark1"/>
                <w:kern w:val="24"/>
                <w:sz w:val="20"/>
                <w:szCs w:val="20"/>
                <w:lang w:eastAsia="uk-UA"/>
              </w:rPr>
              <w:t>плату праці і нарахування на заробітну плату</w:t>
            </w:r>
            <w:r w:rsidRPr="0067539F">
              <w:rPr>
                <w:rFonts w:ascii="Verdana" w:eastAsia="Times New Roman" w:hAnsi="Verdana" w:cs="Tahoma"/>
                <w:color w:val="000000" w:themeColor="dark1"/>
                <w:kern w:val="24"/>
                <w:sz w:val="20"/>
                <w:szCs w:val="20"/>
                <w:lang w:eastAsia="uk-UA"/>
              </w:rPr>
              <w:t xml:space="preserve"> більше на 1272,1 % ніж у 2024 р.</w:t>
            </w:r>
          </w:p>
        </w:tc>
      </w:tr>
    </w:tbl>
    <w:p w14:paraId="5685B635" w14:textId="77777777" w:rsidR="0067539F" w:rsidRPr="009A198B" w:rsidRDefault="0067539F" w:rsidP="009A198B">
      <w:pPr>
        <w:suppressAutoHyphens/>
        <w:spacing w:after="0" w:line="240" w:lineRule="auto"/>
        <w:ind w:right="142"/>
        <w:jc w:val="both"/>
        <w:rPr>
          <w:rFonts w:ascii="Verdana" w:eastAsia="Times New Roman" w:hAnsi="Verdana" w:cs="Times New Roman"/>
          <w:b/>
          <w:bCs/>
          <w:color w:val="09AEBF"/>
          <w:lang w:eastAsia="ar-SA"/>
        </w:rPr>
      </w:pPr>
    </w:p>
    <w:p w14:paraId="37464C13" w14:textId="08F99AE4" w:rsidR="0067539F" w:rsidRPr="007D74C2" w:rsidRDefault="0067539F" w:rsidP="009A198B">
      <w:pPr>
        <w:suppressAutoHyphens/>
        <w:spacing w:after="0" w:line="240" w:lineRule="auto"/>
        <w:ind w:right="142"/>
        <w:rPr>
          <w:rFonts w:ascii="Verdana" w:eastAsia="Times New Roman" w:hAnsi="Verdana" w:cs="Times New Roman"/>
          <w:b/>
          <w:bCs/>
          <w:color w:val="066A74"/>
          <w:lang w:eastAsia="ar-SA"/>
        </w:rPr>
      </w:pPr>
      <w:r w:rsidRPr="007D74C2">
        <w:rPr>
          <w:rFonts w:ascii="Verdana" w:eastAsia="Times New Roman" w:hAnsi="Verdana" w:cs="Times New Roman"/>
          <w:b/>
          <w:bCs/>
          <w:color w:val="066A74"/>
          <w:lang w:eastAsia="ar-SA"/>
        </w:rPr>
        <w:t>КАПІТАЛЬНІ ІНВЕСТИЦІЇ</w:t>
      </w:r>
      <w:r w:rsidRPr="009A198B">
        <w:rPr>
          <w:rFonts w:ascii="Verdana" w:eastAsia="Times New Roman" w:hAnsi="Verdana" w:cs="Times New Roman"/>
          <w:b/>
          <w:bCs/>
          <w:color w:val="09AEBF"/>
          <w:lang w:eastAsia="ar-SA"/>
        </w:rPr>
        <w:br/>
      </w:r>
      <w:r w:rsidRPr="007D74C2">
        <w:rPr>
          <w:rFonts w:ascii="Verdana" w:eastAsia="Times New Roman" w:hAnsi="Verdana" w:cs="Times New Roman"/>
          <w:color w:val="066A74"/>
          <w:lang w:eastAsia="ar-SA"/>
        </w:rPr>
        <w:t>(основні засоби, модернізація та капітальні ремонти, інші необоротні матеріальні активи, нематеріальні активи)</w:t>
      </w:r>
    </w:p>
    <w:p w14:paraId="4E6DD6A3" w14:textId="5D093B8D" w:rsidR="0067539F" w:rsidRPr="009A198B" w:rsidRDefault="0067539F" w:rsidP="009A198B">
      <w:pPr>
        <w:suppressAutoHyphens/>
        <w:spacing w:after="0" w:line="240" w:lineRule="auto"/>
        <w:ind w:right="142" w:hanging="142"/>
        <w:jc w:val="both"/>
        <w:rPr>
          <w:rFonts w:ascii="Verdana" w:eastAsia="Times New Roman" w:hAnsi="Verdana" w:cs="Times New Roman"/>
          <w:b/>
          <w:bCs/>
          <w:color w:val="1F4E79"/>
          <w:lang w:eastAsia="ar-SA"/>
        </w:rPr>
      </w:pPr>
      <w:r w:rsidRPr="009A198B">
        <w:rPr>
          <w:rFonts w:ascii="Verdana" w:eastAsia="Times New Roman" w:hAnsi="Verdana" w:cs="Times New Roman"/>
          <w:b/>
          <w:bCs/>
          <w:color w:val="1F4E79"/>
          <w:lang w:eastAsia="ar-SA"/>
        </w:rPr>
        <w:drawing>
          <wp:inline distT="0" distB="0" distL="0" distR="0" wp14:anchorId="463E7A52" wp14:editId="0326A42E">
            <wp:extent cx="6008914" cy="337179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3571" cy="3391245"/>
                    </a:xfrm>
                    <a:prstGeom prst="rect">
                      <a:avLst/>
                    </a:prstGeom>
                  </pic:spPr>
                </pic:pic>
              </a:graphicData>
            </a:graphic>
          </wp:inline>
        </w:drawing>
      </w:r>
    </w:p>
    <w:p w14:paraId="66F5D5AB" w14:textId="77777777" w:rsidR="00EA3256" w:rsidRDefault="00EA3256"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5CE23AD3" w14:textId="64FD5D6C" w:rsidR="0067539F" w:rsidRPr="0067539F" w:rsidRDefault="0067539F" w:rsidP="007D74C2">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МІЖНАРОДНА СПІВПРАЦЯ</w:t>
      </w:r>
    </w:p>
    <w:p w14:paraId="6DF79D98" w14:textId="0012EE5F" w:rsidR="0067539F" w:rsidRDefault="0067539F" w:rsidP="007D74C2">
      <w:pPr>
        <w:suppressAutoHyphens/>
        <w:spacing w:after="0" w:line="240" w:lineRule="auto"/>
        <w:ind w:firstLine="708"/>
        <w:rPr>
          <w:rFonts w:ascii="Verdana" w:eastAsia="Times New Roman" w:hAnsi="Verdana" w:cs="Times New Roman"/>
          <w:lang w:eastAsia="ar-SA"/>
        </w:rPr>
      </w:pPr>
      <w:r w:rsidRPr="0067539F">
        <w:rPr>
          <w:rFonts w:ascii="Verdana" w:eastAsia="Times New Roman" w:hAnsi="Verdana" w:cs="Times New Roman"/>
          <w:lang w:eastAsia="ar-SA"/>
        </w:rPr>
        <w:t>Протягом 2024 року КП «ХМДЛ» здійснювала активну роботу із налагодження, підтримки та розширення зв’язків, розвитку співпраці та обміну досвідом із міжнародними, європейськими установами, містами-побратимами, організаціями та партнерами:</w:t>
      </w:r>
    </w:p>
    <w:p w14:paraId="714F5F8A" w14:textId="77777777" w:rsidR="00EA3256" w:rsidRPr="0067539F" w:rsidRDefault="00EA3256" w:rsidP="009A198B">
      <w:pPr>
        <w:suppressAutoHyphens/>
        <w:spacing w:after="0" w:line="240" w:lineRule="auto"/>
        <w:ind w:firstLine="708"/>
        <w:rPr>
          <w:rFonts w:ascii="Verdana" w:eastAsia="Times New Roman" w:hAnsi="Verdana" w:cs="Times New Roman"/>
          <w:lang w:eastAsia="ar-SA"/>
        </w:rPr>
      </w:pPr>
    </w:p>
    <w:tbl>
      <w:tblPr>
        <w:tblStyle w:val="2"/>
        <w:tblW w:w="9918" w:type="dxa"/>
        <w:tblLayout w:type="fixed"/>
        <w:tblLook w:val="04A0" w:firstRow="1" w:lastRow="0" w:firstColumn="1" w:lastColumn="0" w:noHBand="0" w:noVBand="1"/>
      </w:tblPr>
      <w:tblGrid>
        <w:gridCol w:w="4248"/>
        <w:gridCol w:w="5670"/>
      </w:tblGrid>
      <w:tr w:rsidR="0067539F" w:rsidRPr="0067539F" w14:paraId="6762028C" w14:textId="77777777" w:rsidTr="00075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EB4747"/>
          </w:tcPr>
          <w:p w14:paraId="1094CA00" w14:textId="77777777" w:rsidR="0067539F" w:rsidRPr="0067539F" w:rsidRDefault="0067539F" w:rsidP="009A198B">
            <w:pPr>
              <w:suppressAutoHyphens/>
              <w:jc w:val="center"/>
              <w:rPr>
                <w:rFonts w:ascii="Verdana" w:eastAsia="Calibri" w:hAnsi="Verdana" w:cs="Times New Roman"/>
                <w:color w:val="FFFFFF" w:themeColor="background1"/>
                <w:sz w:val="24"/>
                <w:szCs w:val="24"/>
                <w:lang w:eastAsia="ar-SA"/>
              </w:rPr>
            </w:pPr>
            <w:r w:rsidRPr="0067539F">
              <w:rPr>
                <w:rFonts w:ascii="Verdana" w:eastAsia="Calibri" w:hAnsi="Verdana" w:cs="Times New Roman"/>
                <w:color w:val="FFFFFF" w:themeColor="background1"/>
                <w:sz w:val="24"/>
                <w:szCs w:val="24"/>
                <w:lang w:eastAsia="ar-SA"/>
              </w:rPr>
              <w:t>Партнер</w:t>
            </w:r>
          </w:p>
        </w:tc>
        <w:tc>
          <w:tcPr>
            <w:tcW w:w="5670" w:type="dxa"/>
            <w:shd w:val="clear" w:color="auto" w:fill="EB4747"/>
          </w:tcPr>
          <w:p w14:paraId="371623A3" w14:textId="77777777" w:rsidR="0067539F" w:rsidRPr="0067539F" w:rsidRDefault="0067539F" w:rsidP="009A198B">
            <w:pPr>
              <w:suppressAutoHyphens/>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color w:val="FFFFFF" w:themeColor="background1"/>
                <w:sz w:val="24"/>
                <w:szCs w:val="24"/>
                <w:lang w:eastAsia="ar-SA"/>
              </w:rPr>
            </w:pPr>
            <w:r w:rsidRPr="0067539F">
              <w:rPr>
                <w:rFonts w:ascii="Verdana" w:eastAsia="Calibri" w:hAnsi="Verdana" w:cs="Times New Roman"/>
                <w:color w:val="FFFFFF" w:themeColor="background1"/>
                <w:sz w:val="24"/>
                <w:szCs w:val="24"/>
                <w:lang w:eastAsia="ar-SA"/>
              </w:rPr>
              <w:t>Діяльність</w:t>
            </w:r>
          </w:p>
        </w:tc>
      </w:tr>
      <w:tr w:rsidR="0067539F" w:rsidRPr="0067539F" w14:paraId="525784D1"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08A900"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EURORDIS — Rare Diseases Europe</w:t>
            </w:r>
          </w:p>
        </w:tc>
        <w:tc>
          <w:tcPr>
            <w:tcW w:w="5670" w:type="dxa"/>
          </w:tcPr>
          <w:p w14:paraId="05482D4F" w14:textId="77777777"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Підтримка ініціатив, організація заходів, обмін досвідом, участь в спільних програмах, конференціях, тренінгах:</w:t>
            </w:r>
          </w:p>
          <w:p w14:paraId="3CFEEE0A" w14:textId="77777777" w:rsidR="0067539F" w:rsidRPr="0067539F" w:rsidRDefault="0067539F" w:rsidP="009A198B">
            <w:pPr>
              <w:numPr>
                <w:ilvl w:val="0"/>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Ініціатива Rare Disease Day – участь, поширення.</w:t>
            </w:r>
          </w:p>
          <w:p w14:paraId="1AFED445" w14:textId="77777777" w:rsidR="0067539F" w:rsidRPr="0067539F" w:rsidRDefault="0067539F" w:rsidP="009A198B">
            <w:pPr>
              <w:numPr>
                <w:ilvl w:val="0"/>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 xml:space="preserve">Отримання доступу та участь у конференції The European Conference on Rare Diseases and Orphan Products (ECRD) – налагодження партнерства та обмін досвідом, підтримка спільного відкритого листа-звернення. </w:t>
            </w:r>
          </w:p>
          <w:p w14:paraId="3D221E5A" w14:textId="77777777" w:rsidR="0067539F" w:rsidRPr="0067539F" w:rsidRDefault="0067539F" w:rsidP="009A198B">
            <w:pPr>
              <w:numPr>
                <w:ilvl w:val="0"/>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 xml:space="preserve">Тренінги в рамках The EURORDIS Open Academy: </w:t>
            </w:r>
          </w:p>
          <w:p w14:paraId="60F340E1" w14:textId="77777777" w:rsidR="0067539F" w:rsidRPr="0067539F" w:rsidRDefault="0067539F" w:rsidP="009A198B">
            <w:pPr>
              <w:numPr>
                <w:ilvl w:val="1"/>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Establishing an international cooperation with rare disease patient groups;</w:t>
            </w:r>
          </w:p>
          <w:p w14:paraId="6F0CDDF0" w14:textId="77777777" w:rsidR="0067539F" w:rsidRPr="0067539F" w:rsidRDefault="0067539F" w:rsidP="009A198B">
            <w:pPr>
              <w:numPr>
                <w:ilvl w:val="1"/>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Introduction to genetics and genomics;</w:t>
            </w:r>
          </w:p>
          <w:p w14:paraId="5BAB3719" w14:textId="77777777" w:rsidR="0067539F" w:rsidRPr="0067539F" w:rsidRDefault="0067539F" w:rsidP="009A198B">
            <w:pPr>
              <w:numPr>
                <w:ilvl w:val="1"/>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Sharing patient data;</w:t>
            </w:r>
          </w:p>
          <w:p w14:paraId="526D9E1C" w14:textId="77777777" w:rsidR="0067539F" w:rsidRPr="0067539F" w:rsidRDefault="0067539F" w:rsidP="009A198B">
            <w:pPr>
              <w:numPr>
                <w:ilvl w:val="1"/>
                <w:numId w:val="20"/>
              </w:numPr>
              <w:suppressAutoHyphens/>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lastRenderedPageBreak/>
              <w:t>International advocacy for rare diseases.</w:t>
            </w:r>
          </w:p>
        </w:tc>
      </w:tr>
      <w:tr w:rsidR="0067539F" w:rsidRPr="0067539F" w14:paraId="553E95D9"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028F2E4E"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lastRenderedPageBreak/>
              <w:t>У партнерстві із:</w:t>
            </w:r>
          </w:p>
          <w:p w14:paraId="49F01AC9" w14:textId="77777777" w:rsidR="0067539F" w:rsidRPr="0067539F" w:rsidRDefault="0067539F" w:rsidP="009A198B">
            <w:pPr>
              <w:numPr>
                <w:ilvl w:val="0"/>
                <w:numId w:val="21"/>
              </w:numPr>
              <w:suppressAutoHyphens/>
              <w:contextualSpacing/>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 xml:space="preserve">European Reference Network for Rare Malformation Syndromes, Intellectual and Other Neurodevelopmental Disorders (ERN eUROGEN), </w:t>
            </w:r>
          </w:p>
          <w:p w14:paraId="1B40708F" w14:textId="77777777" w:rsidR="0067539F" w:rsidRPr="0067539F" w:rsidRDefault="0067539F" w:rsidP="009A198B">
            <w:pPr>
              <w:numPr>
                <w:ilvl w:val="0"/>
                <w:numId w:val="21"/>
              </w:numPr>
              <w:suppressAutoHyphens/>
              <w:contextualSpacing/>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The International Federation for Spina Bifida and Hydrocephalus (IFSBH)</w:t>
            </w:r>
          </w:p>
          <w:p w14:paraId="122AD8C5" w14:textId="77777777" w:rsidR="0067539F" w:rsidRPr="0067539F" w:rsidRDefault="0067539F" w:rsidP="009A198B">
            <w:pPr>
              <w:numPr>
                <w:ilvl w:val="0"/>
                <w:numId w:val="21"/>
              </w:numPr>
              <w:suppressAutoHyphens/>
              <w:contextualSpacing/>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European reference network for rare malformation syndromes and rare intellectual and neurodevelopmental disorders (ERN ITHACA)</w:t>
            </w:r>
          </w:p>
        </w:tc>
        <w:tc>
          <w:tcPr>
            <w:tcW w:w="5670" w:type="dxa"/>
          </w:tcPr>
          <w:p w14:paraId="10CAC799"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Продовження співпраці у межах спільного меморандуму:</w:t>
            </w:r>
          </w:p>
          <w:p w14:paraId="4E57FDBE" w14:textId="77777777" w:rsidR="0067539F" w:rsidRPr="0067539F" w:rsidRDefault="0067539F" w:rsidP="009A198B">
            <w:pPr>
              <w:numPr>
                <w:ilvl w:val="0"/>
                <w:numId w:val="22"/>
              </w:numPr>
              <w:suppressAutoHyphens/>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Продовження спільної серії вебінарів «Україна-ЄС про спінальні дизрафізми» з міжнародною участю та отриманням сертифікатів з балами міжнародної акредитації EACCME.</w:t>
            </w:r>
          </w:p>
          <w:p w14:paraId="20AE2E9A" w14:textId="77777777" w:rsidR="0067539F" w:rsidRPr="0067539F" w:rsidRDefault="0067539F" w:rsidP="009A198B">
            <w:pPr>
              <w:numPr>
                <w:ilvl w:val="0"/>
                <w:numId w:val="22"/>
              </w:numPr>
              <w:suppressAutoHyphens/>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ru-RU"/>
              </w:rPr>
            </w:pPr>
            <w:r w:rsidRPr="0067539F">
              <w:rPr>
                <w:rFonts w:ascii="Verdana" w:eastAsia="Calibri" w:hAnsi="Verdana" w:cs="Times New Roman"/>
                <w:sz w:val="20"/>
                <w:szCs w:val="20"/>
                <w:lang w:eastAsia="ru-RU"/>
              </w:rPr>
              <w:t>Отримано дозвіл на доступ та використання Clinical Patient Management System, CPMS 2.0 - система дозволяє безпечно консультуватись щодо рідкісних чи складних випадків пацієнтів із експертами центрів Європецської мережі рідкісних захворювань (ERN) – розпочаті підготовчі роботи до технічного та практичного впровадження роботи із системою.</w:t>
            </w:r>
          </w:p>
        </w:tc>
      </w:tr>
      <w:tr w:rsidR="0067539F" w:rsidRPr="0067539F" w14:paraId="759430CF"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077FBF"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JRC-EUROCAT – Європейська система моніторингу вроджених вадрозвитку</w:t>
            </w:r>
          </w:p>
        </w:tc>
        <w:tc>
          <w:tcPr>
            <w:tcW w:w="5670" w:type="dxa"/>
          </w:tcPr>
          <w:p w14:paraId="03BC9B08" w14:textId="77777777"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Членство та участь в онлайн-нарадах та щорічній зустрічі керівників реєстрів вроджених вад розвитку</w:t>
            </w:r>
          </w:p>
        </w:tc>
      </w:tr>
      <w:tr w:rsidR="0067539F" w:rsidRPr="0067539F" w14:paraId="3A609A04"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51216A29"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Меморіальна лікарня МакКей, м. Тайбей, Тайвань</w:t>
            </w:r>
          </w:p>
        </w:tc>
        <w:tc>
          <w:tcPr>
            <w:tcW w:w="5670" w:type="dxa"/>
          </w:tcPr>
          <w:p w14:paraId="09F29591"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Отримання стипендій для двох лікарів КП «ХМДЛ» для участі у Програмі Короткострокового Обміну Медичними Працівниками та здійснення місячного навчального візиту. Візит представника Меморіальної лікарні МакКей до КП «ХМДЛ» - підписання Меморандуму про співпрацю.</w:t>
            </w:r>
          </w:p>
        </w:tc>
      </w:tr>
      <w:tr w:rsidR="0067539F" w:rsidRPr="0067539F" w14:paraId="1944ECC4"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7016A17"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 xml:space="preserve">Israel Trauma Coalition in UA </w:t>
            </w:r>
          </w:p>
        </w:tc>
        <w:tc>
          <w:tcPr>
            <w:tcW w:w="5670" w:type="dxa"/>
          </w:tcPr>
          <w:p w14:paraId="7C4FB7A3" w14:textId="77777777"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Персонал КП "Хмельницької міської дитячої лікарні" пройшов психологічний базовий курс від Ізраїльської коаліції по роботі з травмою</w:t>
            </w:r>
          </w:p>
        </w:tc>
      </w:tr>
      <w:tr w:rsidR="0067539F" w:rsidRPr="0067539F" w14:paraId="6BDAF357"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043BDB1F"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Solidarité Ukraine 34 (Lunel) у спілці із пацієнтською організацією «Орфанні за життя»</w:t>
            </w:r>
          </w:p>
        </w:tc>
        <w:tc>
          <w:tcPr>
            <w:tcW w:w="5670" w:type="dxa"/>
          </w:tcPr>
          <w:p w14:paraId="0751E56B"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Допомога, ентеральне харчування та обладнання для паліативного відділення та орфанних пацієнтів.</w:t>
            </w:r>
          </w:p>
        </w:tc>
      </w:tr>
      <w:tr w:rsidR="0067539F" w:rsidRPr="0067539F" w14:paraId="4F1B364D"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9B636A8"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Kinder von Tschernobyl - Благодійний фонд «Діти Чорнобиля»</w:t>
            </w:r>
          </w:p>
        </w:tc>
        <w:tc>
          <w:tcPr>
            <w:tcW w:w="5670" w:type="dxa"/>
          </w:tcPr>
          <w:p w14:paraId="6E5BB427" w14:textId="77777777"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Допомога та обладнання для відділення інтенсивної терапії для дітей</w:t>
            </w:r>
          </w:p>
        </w:tc>
      </w:tr>
      <w:tr w:rsidR="0067539F" w:rsidRPr="0067539F" w14:paraId="309414D0"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61FF04CF"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LCLC - Lithuanian City of London Club - Londono Sičio Lietuvių Klubas</w:t>
            </w:r>
          </w:p>
        </w:tc>
        <w:tc>
          <w:tcPr>
            <w:tcW w:w="5670" w:type="dxa"/>
          </w:tcPr>
          <w:p w14:paraId="0F685511"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Обладнання для паліативного відділення та виїзної команди мобільної паліативної допомоги</w:t>
            </w:r>
          </w:p>
        </w:tc>
      </w:tr>
      <w:tr w:rsidR="0067539F" w:rsidRPr="0067539F" w14:paraId="371FD6D3"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BEF4CC6"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 xml:space="preserve">Polska Misja Medyczna / Polish Medical Mission </w:t>
            </w:r>
          </w:p>
        </w:tc>
        <w:tc>
          <w:tcPr>
            <w:tcW w:w="5670" w:type="dxa"/>
          </w:tcPr>
          <w:p w14:paraId="66612045" w14:textId="77777777"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Допомога - передовий прилад для реєстрації отоакустичної емісії - Oto Read</w:t>
            </w:r>
          </w:p>
        </w:tc>
      </w:tr>
      <w:tr w:rsidR="0067539F" w:rsidRPr="0067539F" w14:paraId="58C65026"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5B813BBC"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Ambulance for Kids</w:t>
            </w:r>
          </w:p>
        </w:tc>
        <w:tc>
          <w:tcPr>
            <w:tcW w:w="5670" w:type="dxa"/>
          </w:tcPr>
          <w:p w14:paraId="07DD8865"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Встановлення контактів - благодійний проєкт  із транспортування важкохворих або передчасно народжених дітей до медичних закладів України та Європи</w:t>
            </w:r>
          </w:p>
        </w:tc>
      </w:tr>
      <w:tr w:rsidR="0067539F" w:rsidRPr="0067539F" w14:paraId="4B9A3B1B" w14:textId="77777777" w:rsidTr="0007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FDAA41"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The Children’s Hospital Alliance, Sheffield Children’s Hospital (UK)</w:t>
            </w:r>
          </w:p>
        </w:tc>
        <w:tc>
          <w:tcPr>
            <w:tcW w:w="5670" w:type="dxa"/>
          </w:tcPr>
          <w:p w14:paraId="00796166" w14:textId="56D8DAE1" w:rsidR="0067539F" w:rsidRPr="0067539F" w:rsidRDefault="0067539F" w:rsidP="009A198B">
            <w:pPr>
              <w:suppressAutoHyphens/>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За сприяння Sheffield Children’s NHS Foundation Trust (UK) - налагодження контакту із консультанткою МОЗ із розвитку людського капіталу в реабілітації: Включення двох спеціалістів КП «ХМДЛ» до програми від Світового Банку зі стажування для 8 українських фахівців з реабілітації у Великій Британії (протягом 2025 року).</w:t>
            </w:r>
          </w:p>
        </w:tc>
      </w:tr>
      <w:tr w:rsidR="0067539F" w:rsidRPr="0067539F" w14:paraId="5F34FBCD" w14:textId="77777777" w:rsidTr="00075533">
        <w:tc>
          <w:tcPr>
            <w:cnfStyle w:val="001000000000" w:firstRow="0" w:lastRow="0" w:firstColumn="1" w:lastColumn="0" w:oddVBand="0" w:evenVBand="0" w:oddHBand="0" w:evenHBand="0" w:firstRowFirstColumn="0" w:firstRowLastColumn="0" w:lastRowFirstColumn="0" w:lastRowLastColumn="0"/>
            <w:tcW w:w="4248" w:type="dxa"/>
          </w:tcPr>
          <w:p w14:paraId="76DA455C" w14:textId="77777777" w:rsidR="0067539F" w:rsidRPr="0067539F" w:rsidRDefault="0067539F" w:rsidP="009A198B">
            <w:pPr>
              <w:suppressAutoHyphens/>
              <w:rPr>
                <w:rFonts w:ascii="Verdana" w:eastAsia="Calibri" w:hAnsi="Verdana" w:cs="Times New Roman"/>
                <w:sz w:val="20"/>
                <w:szCs w:val="20"/>
                <w:lang w:eastAsia="ar-SA"/>
              </w:rPr>
            </w:pPr>
            <w:r w:rsidRPr="0067539F">
              <w:rPr>
                <w:rFonts w:ascii="Verdana" w:eastAsia="Calibri" w:hAnsi="Verdana" w:cs="Times New Roman"/>
                <w:sz w:val="20"/>
                <w:szCs w:val="20"/>
                <w:lang w:eastAsia="ar-SA"/>
              </w:rPr>
              <w:t xml:space="preserve">Sheffield Children’s NHS Foundation Trust, Sheffield </w:t>
            </w:r>
            <w:r w:rsidRPr="0067539F">
              <w:rPr>
                <w:rFonts w:ascii="Verdana" w:eastAsia="Calibri" w:hAnsi="Verdana" w:cs="Times New Roman"/>
                <w:sz w:val="20"/>
                <w:szCs w:val="20"/>
                <w:lang w:eastAsia="ar-SA"/>
              </w:rPr>
              <w:lastRenderedPageBreak/>
              <w:t>Children’s Hospital (UK) – Sleep Service</w:t>
            </w:r>
          </w:p>
        </w:tc>
        <w:tc>
          <w:tcPr>
            <w:tcW w:w="5670" w:type="dxa"/>
          </w:tcPr>
          <w:p w14:paraId="2EA3DBD3" w14:textId="77777777" w:rsidR="0067539F" w:rsidRPr="0067539F" w:rsidRDefault="0067539F" w:rsidP="009A198B">
            <w:pPr>
              <w:suppressAutoHyphens/>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lang w:eastAsia="ar-SA"/>
              </w:rPr>
            </w:pPr>
            <w:r w:rsidRPr="0067539F">
              <w:rPr>
                <w:rFonts w:ascii="Verdana" w:eastAsia="Calibri" w:hAnsi="Verdana" w:cs="Times New Roman"/>
                <w:sz w:val="20"/>
                <w:szCs w:val="20"/>
                <w:lang w:eastAsia="ar-SA"/>
              </w:rPr>
              <w:lastRenderedPageBreak/>
              <w:t xml:space="preserve">Досягнуто домовленість щодо налагодження співпраці, навчання та обміну досвідом з питань </w:t>
            </w:r>
            <w:r w:rsidRPr="0067539F">
              <w:rPr>
                <w:rFonts w:ascii="Verdana" w:eastAsia="Calibri" w:hAnsi="Verdana" w:cs="Times New Roman"/>
                <w:sz w:val="20"/>
                <w:szCs w:val="20"/>
                <w:lang w:eastAsia="ar-SA"/>
              </w:rPr>
              <w:lastRenderedPageBreak/>
              <w:t>організації послуг з діагностики та лікування порушень сну та дихальних розладів у дітей.</w:t>
            </w:r>
          </w:p>
        </w:tc>
      </w:tr>
    </w:tbl>
    <w:p w14:paraId="0EACD2A0" w14:textId="77777777" w:rsidR="0067539F" w:rsidRPr="0067539F" w:rsidRDefault="0067539F" w:rsidP="009A198B">
      <w:pPr>
        <w:suppressAutoHyphens/>
        <w:spacing w:after="0" w:line="240" w:lineRule="auto"/>
        <w:rPr>
          <w:rFonts w:ascii="Verdana" w:eastAsia="Times New Roman" w:hAnsi="Verdana" w:cs="Times New Roman"/>
          <w:lang w:eastAsia="ar-SA"/>
        </w:rPr>
      </w:pPr>
    </w:p>
    <w:p w14:paraId="1718EDDD"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СПІВПРАЦЯ ІЗ ГРОМДСЬКИМИ та ПАЦІЄНТСЬКИМИ ОРГАНІЗАЦІЯМИ</w:t>
      </w:r>
    </w:p>
    <w:p w14:paraId="3269F16E" w14:textId="77777777" w:rsidR="0067539F" w:rsidRPr="0067539F" w:rsidRDefault="0067539F" w:rsidP="009A198B">
      <w:pPr>
        <w:suppressAutoHyphens/>
        <w:spacing w:after="0" w:line="240" w:lineRule="auto"/>
        <w:ind w:right="142" w:firstLine="284"/>
        <w:jc w:val="both"/>
        <w:rPr>
          <w:rFonts w:ascii="Verdana" w:eastAsia="Times New Roman" w:hAnsi="Verdana" w:cs="Times New Roman"/>
          <w:lang w:eastAsia="ar-SA"/>
        </w:rPr>
      </w:pPr>
      <w:r w:rsidRPr="0067539F">
        <w:rPr>
          <w:rFonts w:ascii="Verdana" w:eastAsia="Times New Roman" w:hAnsi="Verdana" w:cs="Times New Roman"/>
          <w:lang w:eastAsia="ar-SA"/>
        </w:rPr>
        <w:t>Меморандуми про співпрацю:</w:t>
      </w:r>
    </w:p>
    <w:p w14:paraId="255FE101" w14:textId="77777777" w:rsidR="0067539F" w:rsidRPr="0067539F" w:rsidRDefault="0067539F" w:rsidP="009A198B">
      <w:pPr>
        <w:numPr>
          <w:ilvl w:val="0"/>
          <w:numId w:val="28"/>
        </w:numPr>
        <w:suppressAutoHyphens/>
        <w:spacing w:after="0" w:line="240" w:lineRule="auto"/>
        <w:ind w:right="142"/>
        <w:contextualSpacing/>
        <w:jc w:val="both"/>
        <w:rPr>
          <w:rFonts w:ascii="Verdana" w:eastAsia="Calibri" w:hAnsi="Verdana" w:cs="Times New Roman"/>
          <w:lang w:eastAsia="ru-RU"/>
        </w:rPr>
      </w:pPr>
      <w:r w:rsidRPr="0067539F">
        <w:rPr>
          <w:rFonts w:ascii="Verdana" w:eastAsia="Calibri" w:hAnsi="Verdana" w:cs="Times New Roman"/>
          <w:lang w:eastAsia="ru-RU"/>
        </w:rPr>
        <w:t>ГС "Орфанні захворювання України"</w:t>
      </w:r>
    </w:p>
    <w:p w14:paraId="6A47A73F" w14:textId="77777777" w:rsidR="0067539F" w:rsidRPr="0067539F" w:rsidRDefault="0067539F" w:rsidP="009A198B">
      <w:pPr>
        <w:numPr>
          <w:ilvl w:val="0"/>
          <w:numId w:val="28"/>
        </w:numPr>
        <w:suppressAutoHyphens/>
        <w:spacing w:after="0" w:line="240" w:lineRule="auto"/>
        <w:ind w:right="142"/>
        <w:contextualSpacing/>
        <w:jc w:val="both"/>
        <w:rPr>
          <w:rFonts w:ascii="Verdana" w:eastAsia="Calibri" w:hAnsi="Verdana" w:cs="Times New Roman"/>
          <w:lang w:eastAsia="ru-RU"/>
        </w:rPr>
      </w:pPr>
      <w:r w:rsidRPr="0067539F">
        <w:rPr>
          <w:rFonts w:ascii="Verdana" w:eastAsia="Calibri" w:hAnsi="Verdana" w:cs="Times New Roman"/>
          <w:lang w:eastAsia="ru-RU"/>
        </w:rPr>
        <w:t>Харківський благодійний фонд “Діти зі спінальною м’язовою атрофією”</w:t>
      </w:r>
    </w:p>
    <w:p w14:paraId="59E80B74" w14:textId="77777777" w:rsidR="0067539F" w:rsidRPr="0067539F" w:rsidRDefault="0067539F" w:rsidP="009A198B">
      <w:pPr>
        <w:numPr>
          <w:ilvl w:val="0"/>
          <w:numId w:val="28"/>
        </w:numPr>
        <w:suppressAutoHyphens/>
        <w:spacing w:after="0" w:line="240" w:lineRule="auto"/>
        <w:ind w:right="142"/>
        <w:contextualSpacing/>
        <w:jc w:val="both"/>
        <w:rPr>
          <w:rFonts w:ascii="Verdana" w:eastAsia="Calibri" w:hAnsi="Verdana" w:cs="Times New Roman"/>
          <w:lang w:eastAsia="ru-RU"/>
        </w:rPr>
      </w:pPr>
      <w:r w:rsidRPr="0067539F">
        <w:rPr>
          <w:rFonts w:ascii="Verdana" w:eastAsia="Calibri" w:hAnsi="Verdana" w:cs="Times New Roman"/>
          <w:lang w:eastAsia="ru-RU"/>
        </w:rPr>
        <w:t>ГО "Об'єднання батьків дітей з Spina bifida і Гідроцефалією "Сяйво Духу"</w:t>
      </w:r>
    </w:p>
    <w:p w14:paraId="360C4CBD"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color w:val="066A74"/>
          <w:lang w:eastAsia="ar-SA"/>
        </w:rPr>
      </w:pPr>
    </w:p>
    <w:p w14:paraId="10E8C235"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БЕЗПЕРЕРВНИЙ ПРОФЕСІЙНИЙ РОЗВИТОК</w:t>
      </w:r>
    </w:p>
    <w:p w14:paraId="4C6F3309"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lang w:eastAsia="ar-SA"/>
        </w:rPr>
        <w:t xml:space="preserve">Листопад 2024 - </w:t>
      </w:r>
      <w:r w:rsidRPr="0067539F">
        <w:rPr>
          <w:rFonts w:ascii="Verdana" w:eastAsia="Times New Roman" w:hAnsi="Verdana" w:cs="Times New Roman"/>
          <w:b/>
          <w:bCs/>
          <w:lang w:eastAsia="ar-SA"/>
        </w:rPr>
        <w:t>інтенсив для середнього та молодшого медичного персоналу</w:t>
      </w:r>
      <w:r w:rsidRPr="0067539F">
        <w:rPr>
          <w:rFonts w:ascii="Verdana" w:eastAsia="Times New Roman" w:hAnsi="Verdana" w:cs="Times New Roman"/>
          <w:lang w:eastAsia="ar-SA"/>
        </w:rPr>
        <w:t xml:space="preserve"> «Гігієна рук» від Асоціація "Служба організації інфекційного контролю"</w:t>
      </w:r>
    </w:p>
    <w:p w14:paraId="6105BA8E"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lang w:eastAsia="ar-SA"/>
        </w:rPr>
        <w:t xml:space="preserve">Грудень 2024 – </w:t>
      </w:r>
      <w:r w:rsidRPr="0067539F">
        <w:rPr>
          <w:rFonts w:ascii="Verdana" w:eastAsia="Times New Roman" w:hAnsi="Verdana" w:cs="Times New Roman"/>
          <w:b/>
          <w:bCs/>
          <w:lang w:eastAsia="ar-SA"/>
        </w:rPr>
        <w:t>Фахова школа для медичних сестер</w:t>
      </w:r>
      <w:r w:rsidRPr="0067539F">
        <w:rPr>
          <w:rFonts w:ascii="Verdana" w:eastAsia="Times New Roman" w:hAnsi="Verdana" w:cs="Times New Roman"/>
          <w:lang w:eastAsia="ar-SA"/>
        </w:rPr>
        <w:t xml:space="preserve"> педіатричних та медичних сестер загальної практики – сімейної медицини «Всеукраїнська школа медсестринства»</w:t>
      </w:r>
    </w:p>
    <w:p w14:paraId="33D2D512"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p>
    <w:p w14:paraId="3A44D434"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 xml:space="preserve">УЧАСТЬ У ПРОЕКТАХ </w:t>
      </w:r>
    </w:p>
    <w:p w14:paraId="7D8D9F5C"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b/>
          <w:bCs/>
          <w:lang w:eastAsia="ar-SA"/>
        </w:rPr>
        <w:t>В межах</w:t>
      </w:r>
      <w:r w:rsidRPr="0067539F">
        <w:rPr>
          <w:rFonts w:ascii="Verdana" w:eastAsia="Times New Roman" w:hAnsi="Verdana" w:cs="Times New Roman"/>
          <w:lang w:eastAsia="ar-SA"/>
        </w:rPr>
        <w:t xml:space="preserve"> </w:t>
      </w:r>
      <w:r w:rsidRPr="0067539F">
        <w:rPr>
          <w:rFonts w:ascii="Verdana" w:eastAsia="Times New Roman" w:hAnsi="Verdana" w:cs="Times New Roman"/>
          <w:b/>
          <w:bCs/>
          <w:lang w:eastAsia="ar-SA"/>
        </w:rPr>
        <w:t>Програми «Громадські ініціативи»</w:t>
      </w:r>
      <w:r w:rsidRPr="0067539F">
        <w:rPr>
          <w:rFonts w:ascii="Verdana" w:eastAsia="Times New Roman" w:hAnsi="Verdana" w:cs="Times New Roman"/>
          <w:lang w:eastAsia="ar-SA"/>
        </w:rPr>
        <w:t xml:space="preserve"> Хмельницької міської територіальної громади та мікропроєкту «Повернемо здоровий сон» спільно із ГО «Сонячні діти»: портативний скринінговий прилад для амбулаторного дослідження сну SOMNOtouch RESP eco.</w:t>
      </w:r>
    </w:p>
    <w:p w14:paraId="3D278FC6"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b/>
          <w:bCs/>
          <w:lang w:eastAsia="ar-SA"/>
        </w:rPr>
        <w:t>В рамках програми «Бюджет участі»:</w:t>
      </w:r>
      <w:r w:rsidRPr="0067539F">
        <w:rPr>
          <w:rFonts w:ascii="Verdana" w:eastAsia="Times New Roman" w:hAnsi="Verdana" w:cs="Times New Roman"/>
          <w:lang w:eastAsia="ar-SA"/>
        </w:rPr>
        <w:t xml:space="preserve"> Реабілітаційний центр «Турбота» реалізував проєкт «Затишні обійми», спрямований на створення інноваційного нейросенсорного простору на базі цього центру.</w:t>
      </w:r>
    </w:p>
    <w:p w14:paraId="31C36271"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b/>
          <w:bCs/>
          <w:lang w:eastAsia="ar-SA"/>
        </w:rPr>
        <w:t>У рамках проєкту «Скарбничка здоров’я»,</w:t>
      </w:r>
      <w:r w:rsidRPr="0067539F">
        <w:rPr>
          <w:rFonts w:ascii="Verdana" w:eastAsia="Times New Roman" w:hAnsi="Verdana" w:cs="Times New Roman"/>
          <w:lang w:eastAsia="ar-SA"/>
        </w:rPr>
        <w:t xml:space="preserve"> започаткованого НДСЛ «Охматдит» за підтримки МХП та БФ «Діти героїв»: обстежено понад 200 дітей із Хмельницької громади, зокрема тих, хто втратив батьків на війні.</w:t>
      </w:r>
    </w:p>
    <w:p w14:paraId="2FA455C7"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lang w:eastAsia="ar-SA"/>
        </w:rPr>
        <w:t xml:space="preserve">Моніторинговий візит представників Посольства Японії в Україні: моніторинг ефективності проекту, що реалізований в КП «ХМДЛ» у рамках </w:t>
      </w:r>
      <w:r w:rsidRPr="0067539F">
        <w:rPr>
          <w:rFonts w:ascii="Verdana" w:eastAsia="Times New Roman" w:hAnsi="Verdana" w:cs="Times New Roman"/>
          <w:b/>
          <w:bCs/>
          <w:lang w:eastAsia="ar-SA"/>
        </w:rPr>
        <w:t>грантової програми «Кусаноне»</w:t>
      </w:r>
      <w:r w:rsidRPr="0067539F">
        <w:rPr>
          <w:rFonts w:ascii="Verdana" w:eastAsia="Times New Roman" w:hAnsi="Verdana" w:cs="Times New Roman"/>
          <w:lang w:eastAsia="ar-SA"/>
        </w:rPr>
        <w:t xml:space="preserve"> Уряду Японії - спеціалізоване обладнання, що активно використовуються у травмацентрі та відділенні невідкладної допомоги.</w:t>
      </w:r>
    </w:p>
    <w:p w14:paraId="4E7B8D22"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b/>
          <w:bCs/>
          <w:color w:val="09AEBF"/>
          <w:lang w:eastAsia="ar-SA"/>
        </w:rPr>
      </w:pPr>
    </w:p>
    <w:p w14:paraId="74E22305" w14:textId="77777777" w:rsidR="0067539F" w:rsidRPr="0067539F" w:rsidRDefault="0067539F" w:rsidP="009A198B">
      <w:pPr>
        <w:suppressAutoHyphens/>
        <w:spacing w:after="0" w:line="240" w:lineRule="auto"/>
        <w:ind w:right="142"/>
        <w:jc w:val="both"/>
        <w:rPr>
          <w:rFonts w:ascii="Verdana" w:eastAsia="Times New Roman" w:hAnsi="Verdana" w:cs="Times New Roman"/>
          <w:b/>
          <w:bCs/>
          <w:color w:val="066A74"/>
          <w:lang w:eastAsia="ar-SA"/>
        </w:rPr>
      </w:pPr>
      <w:r w:rsidRPr="0067539F">
        <w:rPr>
          <w:rFonts w:ascii="Verdana" w:eastAsia="Times New Roman" w:hAnsi="Verdana" w:cs="Times New Roman"/>
          <w:b/>
          <w:bCs/>
          <w:color w:val="066A74"/>
          <w:lang w:eastAsia="ar-SA"/>
        </w:rPr>
        <w:t>ПРОСВІТНИЦЬКА ДІЯЛЬНІСТЬ ТА ІНІЦІАТИВИ</w:t>
      </w:r>
    </w:p>
    <w:p w14:paraId="22667692"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Березень 2024:</w:t>
      </w:r>
    </w:p>
    <w:p w14:paraId="4FDF8D57"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До Міжнародного дня людини з трисомією 21 хромосоми:</w:t>
      </w:r>
    </w:p>
    <w:p w14:paraId="4E3E1553" w14:textId="77777777" w:rsidR="0067539F" w:rsidRPr="0067539F" w:rsidRDefault="0067539F" w:rsidP="00AD1DC7">
      <w:pPr>
        <w:numPr>
          <w:ilvl w:val="0"/>
          <w:numId w:val="19"/>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lang w:eastAsia="ru-RU"/>
        </w:rPr>
        <w:t xml:space="preserve">За ініціативи ГО "Сонячні діти", спільно з ХОГО "Хмельницький ОМНІ-центр" - </w:t>
      </w:r>
      <w:r w:rsidRPr="0067539F">
        <w:rPr>
          <w:rFonts w:ascii="Verdana" w:eastAsia="Calibri" w:hAnsi="Verdana" w:cs="Times New Roman"/>
          <w:b/>
          <w:bCs/>
          <w:lang w:eastAsia="ru-RU"/>
        </w:rPr>
        <w:t>відкриття виставки малюнків дітей з ГО "Сонячні діти" "Життя продовжується! Творимо разом!"</w:t>
      </w:r>
      <w:r w:rsidRPr="0067539F">
        <w:rPr>
          <w:rFonts w:ascii="Verdana" w:eastAsia="Calibri" w:hAnsi="Verdana" w:cs="Times New Roman"/>
          <w:lang w:eastAsia="ru-RU"/>
        </w:rPr>
        <w:t xml:space="preserve"> </w:t>
      </w:r>
    </w:p>
    <w:p w14:paraId="3EC4FF5F" w14:textId="77777777" w:rsidR="0067539F" w:rsidRPr="0067539F" w:rsidRDefault="0067539F" w:rsidP="00AD1DC7">
      <w:pPr>
        <w:numPr>
          <w:ilvl w:val="0"/>
          <w:numId w:val="19"/>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lang w:eastAsia="ru-RU"/>
        </w:rPr>
        <w:t>за ініціативи Хмельницької обласної універсальної наукової бібліотеки та Червоного Хреста - майстер-класи для дітей та їх батьків, а також виставка цікавої літератури: дитячої, медичної та стосовно інклюзії.</w:t>
      </w:r>
    </w:p>
    <w:p w14:paraId="2685C0C5"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Участь у семінарі-практикумі для медичних сестер закладів загальної середньої освіти "Вдосконалення професійних якостей медичного працівника": лікар-ендокринолог дитячий Надія Муляр представила тему: "Супровід дітей з хронічними захворюваннями", зокрема з цукровим діабетом.</w:t>
      </w:r>
    </w:p>
    <w:p w14:paraId="74411690"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p>
    <w:p w14:paraId="000B79B8"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Травень 2024:</w:t>
      </w:r>
    </w:p>
    <w:p w14:paraId="53492E6E" w14:textId="77777777" w:rsidR="0067539F" w:rsidRPr="0067539F" w:rsidRDefault="0067539F" w:rsidP="00AD1DC7">
      <w:pPr>
        <w:numPr>
          <w:ilvl w:val="0"/>
          <w:numId w:val="16"/>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b/>
          <w:bCs/>
          <w:lang w:eastAsia="ru-RU"/>
        </w:rPr>
        <w:t>Проект «День діагностики меланоми в Україні» в рамках офіційної європейської кампанії «Євромеланома»</w:t>
      </w:r>
      <w:r w:rsidRPr="0067539F">
        <w:rPr>
          <w:rFonts w:ascii="Verdana" w:eastAsia="Calibri" w:hAnsi="Verdana" w:cs="Times New Roman"/>
          <w:lang w:eastAsia="ru-RU"/>
        </w:rPr>
        <w:t xml:space="preserve">: безкоштовна діагностика </w:t>
      </w:r>
      <w:r w:rsidRPr="0067539F">
        <w:rPr>
          <w:rFonts w:ascii="Verdana" w:eastAsia="Calibri" w:hAnsi="Verdana" w:cs="Times New Roman"/>
          <w:lang w:eastAsia="ru-RU"/>
        </w:rPr>
        <w:lastRenderedPageBreak/>
        <w:t>родимок та підозрілих новоутворень шкіри спеціалістами в КП «Хмельницька міська дитяча лікарня» в офлайн та онлайн-режимах.</w:t>
      </w:r>
    </w:p>
    <w:p w14:paraId="398720B5" w14:textId="77777777" w:rsidR="0067539F" w:rsidRPr="0067539F" w:rsidRDefault="0067539F" w:rsidP="00AD1DC7">
      <w:pPr>
        <w:numPr>
          <w:ilvl w:val="0"/>
          <w:numId w:val="16"/>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b/>
          <w:bCs/>
          <w:lang w:eastAsia="ru-RU"/>
        </w:rPr>
        <w:t xml:space="preserve">Благодійний ярмарок </w:t>
      </w:r>
      <w:r w:rsidRPr="0067539F">
        <w:rPr>
          <w:rFonts w:ascii="Verdana" w:eastAsia="Calibri" w:hAnsi="Verdana" w:cs="Times New Roman"/>
          <w:lang w:eastAsia="ru-RU"/>
        </w:rPr>
        <w:t>та великодні паски для захисників ЗСУ до Дня медичної сестри - зібрані кошти передані «Волонтерам Поділля» для підтримки ЗСУ. Лікарня регулярно підтримує збір коштів для цієї організації.</w:t>
      </w:r>
    </w:p>
    <w:p w14:paraId="0FFE92B4" w14:textId="77777777" w:rsidR="0067539F" w:rsidRPr="0067539F" w:rsidRDefault="0067539F" w:rsidP="00AD1DC7">
      <w:pPr>
        <w:numPr>
          <w:ilvl w:val="0"/>
          <w:numId w:val="16"/>
        </w:numPr>
        <w:suppressAutoHyphens/>
        <w:spacing w:after="0" w:line="240" w:lineRule="auto"/>
        <w:ind w:left="709" w:right="142"/>
        <w:contextualSpacing/>
        <w:jc w:val="both"/>
        <w:rPr>
          <w:rFonts w:ascii="Verdana" w:eastAsia="Calibri" w:hAnsi="Verdana" w:cs="Times New Roman"/>
          <w:lang w:eastAsia="ru-RU"/>
        </w:rPr>
      </w:pPr>
      <w:r w:rsidRPr="0067539F">
        <w:rPr>
          <w:rFonts w:ascii="Verdana" w:eastAsia="Calibri" w:hAnsi="Verdana" w:cs="Times New Roman"/>
          <w:b/>
          <w:bCs/>
          <w:lang w:eastAsia="ru-RU"/>
        </w:rPr>
        <w:t>Міжнародний день обізнаності про туберозний склероз</w:t>
      </w:r>
      <w:r w:rsidRPr="0067539F">
        <w:rPr>
          <w:rFonts w:ascii="Verdana" w:eastAsia="Calibri" w:hAnsi="Verdana" w:cs="Times New Roman"/>
          <w:lang w:eastAsia="ru-RU"/>
        </w:rPr>
        <w:t xml:space="preserve"> (Круглий стіл для батьків та дітей, які хворіють на туберозний склероз та Семінар/вебінар "Підвищення обізнаності лікарів: ранні ознаки туберозного склерозу")</w:t>
      </w:r>
    </w:p>
    <w:p w14:paraId="344EB9CA" w14:textId="77777777" w:rsidR="0067539F" w:rsidRPr="0067539F" w:rsidRDefault="0067539F" w:rsidP="009A198B">
      <w:pPr>
        <w:suppressAutoHyphens/>
        <w:spacing w:after="0" w:line="240" w:lineRule="auto"/>
        <w:ind w:right="142"/>
        <w:jc w:val="both"/>
        <w:rPr>
          <w:rFonts w:ascii="Verdana" w:eastAsia="Times New Roman" w:hAnsi="Verdana" w:cs="Times New Roman"/>
          <w:lang w:eastAsia="ar-SA"/>
        </w:rPr>
      </w:pPr>
    </w:p>
    <w:p w14:paraId="4B3A4F47"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 xml:space="preserve">Вересень 2024 - </w:t>
      </w:r>
      <w:r w:rsidRPr="0067539F">
        <w:rPr>
          <w:rFonts w:ascii="Verdana" w:eastAsia="Times New Roman" w:hAnsi="Verdana" w:cs="Times New Roman"/>
          <w:b/>
          <w:bCs/>
          <w:lang w:eastAsia="ar-SA"/>
        </w:rPr>
        <w:t>Всесвітній день обізнаності про м’язову дистрофію Дюшена</w:t>
      </w:r>
      <w:r w:rsidRPr="0067539F">
        <w:rPr>
          <w:rFonts w:ascii="Verdana" w:eastAsia="Times New Roman" w:hAnsi="Verdana" w:cs="Times New Roman"/>
          <w:lang w:eastAsia="ar-SA"/>
        </w:rPr>
        <w:t>: спільно із ГО "Орфанні за життя" проведено Круглий стіл за участі лікарів-педіатрів, лікарів-інтернів, команди паліативної служби, катамнестичного спостереження, та Центру орфанних захворювань КП «ХМДЛ».</w:t>
      </w:r>
    </w:p>
    <w:p w14:paraId="170028EB"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p>
    <w:p w14:paraId="7C2E75D7" w14:textId="77777777" w:rsidR="0067539F" w:rsidRPr="0067539F" w:rsidRDefault="0067539F" w:rsidP="00AD1DC7">
      <w:pPr>
        <w:suppressAutoHyphens/>
        <w:spacing w:after="0" w:line="240" w:lineRule="auto"/>
        <w:ind w:right="142"/>
        <w:jc w:val="both"/>
        <w:rPr>
          <w:rFonts w:ascii="Verdana" w:eastAsia="Times New Roman" w:hAnsi="Verdana" w:cs="Times New Roman"/>
          <w:lang w:eastAsia="ar-SA"/>
        </w:rPr>
      </w:pPr>
      <w:r w:rsidRPr="0067539F">
        <w:rPr>
          <w:rFonts w:ascii="Verdana" w:eastAsia="Times New Roman" w:hAnsi="Verdana" w:cs="Times New Roman"/>
          <w:lang w:eastAsia="ar-SA"/>
        </w:rPr>
        <w:t xml:space="preserve">Жовтень 2024 - </w:t>
      </w:r>
      <w:r w:rsidRPr="0067539F">
        <w:rPr>
          <w:rFonts w:ascii="Verdana" w:eastAsia="Times New Roman" w:hAnsi="Verdana" w:cs="Times New Roman"/>
          <w:b/>
          <w:bCs/>
          <w:lang w:eastAsia="ar-SA"/>
        </w:rPr>
        <w:t xml:space="preserve">Міжнародний день інформованості про Spina Bifida-гідроцефалію. </w:t>
      </w:r>
      <w:r w:rsidRPr="0067539F">
        <w:rPr>
          <w:rFonts w:ascii="Verdana" w:eastAsia="Times New Roman" w:hAnsi="Verdana" w:cs="Times New Roman"/>
          <w:lang w:eastAsia="ar-SA"/>
        </w:rPr>
        <w:t>Центр орфанних захворювань КП «ХМДЛ» спільно з Міжнародним благодійним фондом «ОМНІ-Мережа для дітей» та ХОГО «Хмельницький ОМНІ-центр»: підтримка пацієнтів зі спіна біфіда, включаючи допомогу із забезпечення урологічними катетерами для збереження роботи та функції нирок.</w:t>
      </w:r>
    </w:p>
    <w:p w14:paraId="1D6BBB55" w14:textId="77777777" w:rsidR="0067539F" w:rsidRPr="0067539F" w:rsidRDefault="0067539F" w:rsidP="009A198B">
      <w:pPr>
        <w:suppressAutoHyphens/>
        <w:spacing w:after="0" w:line="240" w:lineRule="auto"/>
        <w:ind w:right="142" w:firstLine="708"/>
        <w:jc w:val="both"/>
        <w:rPr>
          <w:rFonts w:ascii="Verdana" w:eastAsia="Times New Roman" w:hAnsi="Verdana" w:cs="Times New Roman"/>
          <w:lang w:eastAsia="ar-SA"/>
        </w:rPr>
      </w:pPr>
      <w:r w:rsidRPr="0067539F">
        <w:rPr>
          <w:rFonts w:ascii="Verdana" w:eastAsia="Times New Roman" w:hAnsi="Verdana" w:cs="Times New Roman"/>
          <w:lang w:eastAsia="ar-SA"/>
        </w:rPr>
        <w:t xml:space="preserve">Просвітницька діяльність для лікарів, студентів-медиків, фахівців з реабілітації, пацієнтів та їхніх родин: </w:t>
      </w:r>
      <w:r w:rsidRPr="0067539F">
        <w:rPr>
          <w:rFonts w:ascii="Verdana" w:eastAsia="Times New Roman" w:hAnsi="Verdana" w:cs="Times New Roman"/>
          <w:b/>
          <w:bCs/>
          <w:lang w:eastAsia="ar-SA"/>
        </w:rPr>
        <w:t>семінар з онлайн-участю</w:t>
      </w:r>
      <w:r w:rsidRPr="0067539F">
        <w:rPr>
          <w:rFonts w:ascii="Verdana" w:eastAsia="Times New Roman" w:hAnsi="Verdana" w:cs="Times New Roman"/>
          <w:lang w:eastAsia="ar-SA"/>
        </w:rPr>
        <w:t xml:space="preserve"> «SPINA BIFIDA - ГІДРОЦЕФАЛІЯ: АСПЕКТИ МІЖДИСЦИПЛІНАРНОЇ ОПІКИ» (23 жовтня 2024 року) для лікарів, лікарів-інтернів, медичних студентів, медичних сестер та фахівців з реабілітації з Хмельницької області та інших регіонів України.</w:t>
      </w:r>
    </w:p>
    <w:p w14:paraId="48FE7A07" w14:textId="77777777" w:rsidR="0067539F" w:rsidRPr="0067539F" w:rsidRDefault="0067539F" w:rsidP="009A198B">
      <w:pPr>
        <w:suppressLineNumbers/>
        <w:suppressAutoHyphens/>
        <w:snapToGrid w:val="0"/>
        <w:spacing w:after="0" w:line="240" w:lineRule="auto"/>
        <w:rPr>
          <w:rFonts w:ascii="Verdana" w:eastAsia="Times New Roman" w:hAnsi="Verdana" w:cs="Times New Roman"/>
          <w:lang w:eastAsia="ar-SA"/>
        </w:rPr>
      </w:pPr>
    </w:p>
    <w:p w14:paraId="4F72BDB9" w14:textId="4022FF3B" w:rsidR="0067539F" w:rsidRPr="007D74C2" w:rsidRDefault="0067539F" w:rsidP="009A198B">
      <w:pPr>
        <w:spacing w:after="0" w:line="240" w:lineRule="auto"/>
        <w:ind w:hanging="142"/>
        <w:rPr>
          <w:rFonts w:ascii="Verdana" w:hAnsi="Verdana" w:cs="Times New Roman"/>
          <w:b/>
          <w:bCs/>
          <w:color w:val="066A74"/>
        </w:rPr>
      </w:pPr>
      <w:r w:rsidRPr="007D74C2">
        <w:rPr>
          <w:rFonts w:ascii="Verdana" w:hAnsi="Verdana" w:cs="Times New Roman"/>
          <w:b/>
          <w:bCs/>
          <w:color w:val="066A74"/>
        </w:rPr>
        <w:t>ПРОБЛЕМИ</w:t>
      </w:r>
    </w:p>
    <w:p w14:paraId="1B1608F6" w14:textId="77777777" w:rsidR="0067539F" w:rsidRPr="009A198B" w:rsidRDefault="0067539F" w:rsidP="009A198B">
      <w:pPr>
        <w:numPr>
          <w:ilvl w:val="0"/>
          <w:numId w:val="23"/>
        </w:numPr>
        <w:suppressLineNumbers/>
        <w:suppressAutoHyphens/>
        <w:snapToGrid w:val="0"/>
        <w:spacing w:after="0" w:line="240" w:lineRule="auto"/>
        <w:rPr>
          <w:rFonts w:ascii="Verdana" w:hAnsi="Verdana"/>
        </w:rPr>
      </w:pPr>
      <w:r w:rsidRPr="009A198B">
        <w:rPr>
          <w:rFonts w:ascii="Verdana" w:hAnsi="Verdana"/>
        </w:rPr>
        <w:t>Зростаючий кадровий дефіцит.</w:t>
      </w:r>
    </w:p>
    <w:p w14:paraId="37627E50" w14:textId="77777777" w:rsidR="0067539F" w:rsidRPr="009A198B" w:rsidRDefault="0067539F" w:rsidP="009A198B">
      <w:pPr>
        <w:numPr>
          <w:ilvl w:val="0"/>
          <w:numId w:val="23"/>
        </w:numPr>
        <w:suppressLineNumbers/>
        <w:suppressAutoHyphens/>
        <w:snapToGrid w:val="0"/>
        <w:spacing w:after="0" w:line="240" w:lineRule="auto"/>
        <w:rPr>
          <w:rFonts w:ascii="Verdana" w:hAnsi="Verdana"/>
        </w:rPr>
      </w:pPr>
      <w:r w:rsidRPr="009A198B">
        <w:rPr>
          <w:rFonts w:ascii="Verdana" w:hAnsi="Verdana"/>
        </w:rPr>
        <w:t>Необхідність модернізації наявного сховища (операційна, перев’язувальна, система очистки повітря, доступність).</w:t>
      </w:r>
    </w:p>
    <w:p w14:paraId="58949EB3" w14:textId="77777777" w:rsidR="0067539F" w:rsidRPr="009A198B" w:rsidRDefault="0067539F" w:rsidP="009A198B">
      <w:pPr>
        <w:numPr>
          <w:ilvl w:val="0"/>
          <w:numId w:val="23"/>
        </w:numPr>
        <w:suppressLineNumbers/>
        <w:suppressAutoHyphens/>
        <w:snapToGrid w:val="0"/>
        <w:spacing w:after="0" w:line="240" w:lineRule="auto"/>
        <w:rPr>
          <w:rFonts w:ascii="Verdana" w:hAnsi="Verdana"/>
        </w:rPr>
      </w:pPr>
      <w:r w:rsidRPr="009A198B">
        <w:rPr>
          <w:rFonts w:ascii="Verdana" w:hAnsi="Verdana"/>
        </w:rPr>
        <w:t>Маршрутизація педіатричних пацієнтів (неонатологія, дитяча нейрохірургія, дитяча психіатрія).</w:t>
      </w:r>
    </w:p>
    <w:p w14:paraId="5899187C" w14:textId="77777777" w:rsidR="0067539F" w:rsidRPr="009A198B" w:rsidRDefault="0067539F" w:rsidP="009A198B">
      <w:pPr>
        <w:numPr>
          <w:ilvl w:val="0"/>
          <w:numId w:val="23"/>
        </w:numPr>
        <w:suppressLineNumbers/>
        <w:suppressAutoHyphens/>
        <w:snapToGrid w:val="0"/>
        <w:spacing w:after="0" w:line="240" w:lineRule="auto"/>
        <w:rPr>
          <w:rFonts w:ascii="Verdana" w:hAnsi="Verdana"/>
        </w:rPr>
      </w:pPr>
      <w:r w:rsidRPr="009A198B">
        <w:rPr>
          <w:rFonts w:ascii="Verdana" w:hAnsi="Verdana"/>
        </w:rPr>
        <w:t>Приведення умов перебування пацієнтів до сучасних вимог НСЗУ, МОЗ та нових ДБН</w:t>
      </w:r>
    </w:p>
    <w:p w14:paraId="044D36A0" w14:textId="77777777" w:rsidR="0067539F" w:rsidRPr="009A198B" w:rsidRDefault="0067539F" w:rsidP="009A198B">
      <w:pPr>
        <w:suppressLineNumbers/>
        <w:snapToGrid w:val="0"/>
        <w:spacing w:after="0" w:line="240" w:lineRule="auto"/>
        <w:ind w:left="720"/>
        <w:rPr>
          <w:rFonts w:ascii="Verdana" w:hAnsi="Verdana"/>
        </w:rPr>
      </w:pPr>
      <w:r w:rsidRPr="009A198B">
        <w:rPr>
          <w:rFonts w:ascii="Verdana" w:hAnsi="Verdana"/>
        </w:rPr>
        <w:t>(інклюзивність, доступність, кондиціонування і т.п.).</w:t>
      </w:r>
    </w:p>
    <w:p w14:paraId="19A6479D" w14:textId="4F0B1260" w:rsidR="0067539F" w:rsidRPr="009A198B" w:rsidRDefault="0067539F" w:rsidP="009A198B">
      <w:pPr>
        <w:spacing w:after="0" w:line="240" w:lineRule="auto"/>
        <w:ind w:hanging="142"/>
        <w:rPr>
          <w:rFonts w:ascii="Verdana" w:hAnsi="Verdana"/>
        </w:rPr>
      </w:pPr>
      <w:r w:rsidRPr="009A198B">
        <w:rPr>
          <w:rFonts w:ascii="Verdana" w:hAnsi="Verdana"/>
        </w:rPr>
        <w:t>Для належного надання спеціалізованої медичної допомоги  дітям в умовах КП «ХМДЛ» необхідне дооснащення КТ, МРТ та УЗД апаратом експертного класу.</w:t>
      </w:r>
    </w:p>
    <w:p w14:paraId="76CCBB3F" w14:textId="27385FF1" w:rsidR="0067539F" w:rsidRPr="009A198B" w:rsidRDefault="0067539F" w:rsidP="009A198B">
      <w:pPr>
        <w:spacing w:after="0" w:line="240" w:lineRule="auto"/>
        <w:ind w:hanging="142"/>
        <w:rPr>
          <w:rFonts w:ascii="Verdana" w:hAnsi="Verdana"/>
          <w:b/>
          <w:bCs/>
          <w:color w:val="09AEBF"/>
        </w:rPr>
      </w:pPr>
    </w:p>
    <w:p w14:paraId="38C5645D" w14:textId="59CA8B9D" w:rsidR="0067539F" w:rsidRPr="007D74C2" w:rsidRDefault="0067539F" w:rsidP="009A198B">
      <w:pPr>
        <w:spacing w:after="0" w:line="240" w:lineRule="auto"/>
        <w:ind w:hanging="142"/>
        <w:rPr>
          <w:rFonts w:ascii="Verdana" w:hAnsi="Verdana"/>
          <w:b/>
          <w:bCs/>
          <w:color w:val="066A74"/>
        </w:rPr>
      </w:pPr>
      <w:r w:rsidRPr="007D74C2">
        <w:rPr>
          <w:rFonts w:ascii="Verdana" w:hAnsi="Verdana"/>
          <w:b/>
          <w:bCs/>
          <w:color w:val="066A74"/>
        </w:rPr>
        <w:t>НАПРЯМИ ПОДАЛЬШОЇ ДІЯЛЬНОСТІ</w:t>
      </w:r>
    </w:p>
    <w:p w14:paraId="1DF1C787"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 xml:space="preserve">Розвиток кадрових людських ресурсів: </w:t>
      </w:r>
    </w:p>
    <w:p w14:paraId="5F8051F2"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створення сильної професійної команди (в тому числі, шляхом БПР);</w:t>
      </w:r>
    </w:p>
    <w:p w14:paraId="58D48AD4"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спеціалізація і ріст професійної майстерності персоналу, спрямованих на зростання іміджу закладу;</w:t>
      </w:r>
    </w:p>
    <w:p w14:paraId="6CDEBFA7"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підготовка спеціалістів в тому числі молодших медичних для забезпечення реабілітаційних та паліативних послуг;</w:t>
      </w:r>
    </w:p>
    <w:p w14:paraId="386B654D"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підготовка спеціалістів –«дублерів»;</w:t>
      </w:r>
    </w:p>
    <w:p w14:paraId="0B1A09BA" w14:textId="341D8429"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Удосконалення якості надання діагностично-лікувальних послуг:</w:t>
      </w:r>
    </w:p>
    <w:p w14:paraId="00F3D461"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розширення спектру малоінвазивних втручань;</w:t>
      </w:r>
    </w:p>
    <w:p w14:paraId="25273C5F"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збільшення послуг «хірургія одного дня»  та стаціонарна паліативна допомога;</w:t>
      </w:r>
    </w:p>
    <w:p w14:paraId="6D43C5A7" w14:textId="77777777" w:rsidR="0067539F" w:rsidRPr="009A198B" w:rsidRDefault="0067539F" w:rsidP="009A198B">
      <w:pPr>
        <w:numPr>
          <w:ilvl w:val="0"/>
          <w:numId w:val="25"/>
        </w:numPr>
        <w:suppressLineNumbers/>
        <w:suppressAutoHyphens/>
        <w:snapToGrid w:val="0"/>
        <w:spacing w:after="0" w:line="240" w:lineRule="auto"/>
        <w:rPr>
          <w:rFonts w:ascii="Verdana" w:hAnsi="Verdana"/>
        </w:rPr>
      </w:pPr>
      <w:r w:rsidRPr="009A198B">
        <w:rPr>
          <w:rFonts w:ascii="Verdana" w:hAnsi="Verdana"/>
        </w:rPr>
        <w:lastRenderedPageBreak/>
        <w:t>Завершення реконструкції відділення невідкладної допомоги, відділення анестезіології та інтенсивної терапії та дитячого травма-центру.</w:t>
      </w:r>
    </w:p>
    <w:p w14:paraId="5C028566" w14:textId="6B63E5C5"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Функціонування КП «ХМДЛ», як клінічної бази ФПО ВНМУ ім. М.І. Пирогова;</w:t>
      </w:r>
    </w:p>
    <w:p w14:paraId="67C487AC"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Удосконалення інфекційного контролю та профілактики інфекцій, пов’язаних із наданням медичної допомоги; адміністрування антимікробних препаратів, профілактика КАІК;</w:t>
      </w:r>
    </w:p>
    <w:p w14:paraId="7995C7B8"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Освоєння і впровадження в клінічну практику сучасних методів діагностики, лікування і</w:t>
      </w:r>
    </w:p>
    <w:p w14:paraId="021BCFD0" w14:textId="77777777" w:rsidR="0067539F" w:rsidRPr="009A198B" w:rsidRDefault="0067539F" w:rsidP="009A198B">
      <w:pPr>
        <w:pStyle w:val="ab"/>
        <w:snapToGrid w:val="0"/>
        <w:ind w:left="720"/>
        <w:rPr>
          <w:rFonts w:ascii="Verdana" w:hAnsi="Verdana"/>
          <w:sz w:val="22"/>
          <w:szCs w:val="22"/>
          <w:lang w:val="uk-UA"/>
        </w:rPr>
      </w:pPr>
      <w:r w:rsidRPr="009A198B">
        <w:rPr>
          <w:rFonts w:ascii="Verdana" w:hAnsi="Verdana"/>
          <w:sz w:val="22"/>
          <w:szCs w:val="22"/>
          <w:lang w:val="uk-UA"/>
        </w:rPr>
        <w:t>профілактики критичних станів;</w:t>
      </w:r>
    </w:p>
    <w:p w14:paraId="00001CAF" w14:textId="77777777" w:rsidR="0067539F" w:rsidRPr="009A198B" w:rsidRDefault="0067539F" w:rsidP="009A198B">
      <w:pPr>
        <w:numPr>
          <w:ilvl w:val="0"/>
          <w:numId w:val="25"/>
        </w:numPr>
        <w:suppressLineNumbers/>
        <w:suppressAutoHyphens/>
        <w:snapToGrid w:val="0"/>
        <w:spacing w:after="0" w:line="240" w:lineRule="auto"/>
        <w:rPr>
          <w:rFonts w:ascii="Verdana" w:hAnsi="Verdana"/>
        </w:rPr>
      </w:pPr>
      <w:r w:rsidRPr="009A198B">
        <w:rPr>
          <w:rFonts w:ascii="Verdana" w:hAnsi="Verdana"/>
        </w:rPr>
        <w:t>Створення  центру дитячого ментального здоров’я.</w:t>
      </w:r>
    </w:p>
    <w:p w14:paraId="1F5908F2"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Зміцнення матеріально-технічної бази та покращення умов перебування пацієнтів:</w:t>
      </w:r>
    </w:p>
    <w:p w14:paraId="35B8EC33"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придбання КТ, МРТ;</w:t>
      </w:r>
    </w:p>
    <w:p w14:paraId="124A23B4"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сучасне лабораторне обладнання (автоматичний біохімічний та гематологічний аналізатори);</w:t>
      </w:r>
    </w:p>
    <w:p w14:paraId="414870FB"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УЗД апарат експертного класу;</w:t>
      </w:r>
    </w:p>
    <w:p w14:paraId="132316B1"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систематичне оновлення офісної техніки, програмного забезпечення;</w:t>
      </w:r>
    </w:p>
    <w:p w14:paraId="442A3F0B"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Удосконалення та розвиток телемедицини;</w:t>
      </w:r>
    </w:p>
    <w:p w14:paraId="23C1726C"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Адекватна система управління комунікаціями (енергоресурси, водопостачання, відходи тощо).</w:t>
      </w:r>
    </w:p>
    <w:p w14:paraId="4F4F6283" w14:textId="77777777" w:rsidR="0067539F" w:rsidRPr="009A198B" w:rsidRDefault="0067539F" w:rsidP="009A198B">
      <w:pPr>
        <w:pStyle w:val="ab"/>
        <w:numPr>
          <w:ilvl w:val="0"/>
          <w:numId w:val="25"/>
        </w:numPr>
        <w:snapToGrid w:val="0"/>
        <w:rPr>
          <w:rFonts w:ascii="Verdana" w:hAnsi="Verdana"/>
          <w:sz w:val="22"/>
          <w:szCs w:val="22"/>
          <w:lang w:val="uk-UA"/>
        </w:rPr>
      </w:pPr>
      <w:r w:rsidRPr="009A198B">
        <w:rPr>
          <w:rFonts w:ascii="Verdana" w:hAnsi="Verdana"/>
          <w:sz w:val="22"/>
          <w:szCs w:val="22"/>
          <w:lang w:val="uk-UA"/>
        </w:rPr>
        <w:t>Зміцнення фінансової самодостатності та стійкості закладу:</w:t>
      </w:r>
    </w:p>
    <w:p w14:paraId="33832E28" w14:textId="77777777" w:rsidR="0067539F" w:rsidRPr="009A198B" w:rsidRDefault="0067539F" w:rsidP="009A198B">
      <w:pPr>
        <w:pStyle w:val="ab"/>
        <w:numPr>
          <w:ilvl w:val="0"/>
          <w:numId w:val="24"/>
        </w:numPr>
        <w:snapToGrid w:val="0"/>
        <w:rPr>
          <w:rFonts w:ascii="Verdana" w:hAnsi="Verdana"/>
          <w:sz w:val="22"/>
          <w:szCs w:val="22"/>
          <w:lang w:val="uk-UA"/>
        </w:rPr>
      </w:pPr>
      <w:r w:rsidRPr="009A198B">
        <w:rPr>
          <w:rFonts w:ascii="Verdana" w:hAnsi="Verdana"/>
          <w:sz w:val="22"/>
          <w:szCs w:val="22"/>
          <w:lang w:val="uk-UA"/>
        </w:rPr>
        <w:t>залучення додаткових джерел фінансування (благодійні фонди, міжнародна технічна та фінансова допомога, фандрайзинг, платні послуги, стажування лікарів, підтримка та налагодження співпраці з містами-побратимами).</w:t>
      </w:r>
    </w:p>
    <w:p w14:paraId="4A8E83F4" w14:textId="77777777" w:rsidR="0067539F" w:rsidRPr="009A198B" w:rsidRDefault="0067539F" w:rsidP="009A198B">
      <w:pPr>
        <w:pStyle w:val="ab"/>
        <w:snapToGrid w:val="0"/>
        <w:ind w:left="720"/>
        <w:rPr>
          <w:rFonts w:ascii="Verdana" w:hAnsi="Verdana"/>
          <w:sz w:val="22"/>
          <w:szCs w:val="22"/>
          <w:lang w:val="uk-UA"/>
        </w:rPr>
      </w:pPr>
      <w:r w:rsidRPr="009A198B">
        <w:rPr>
          <w:rFonts w:ascii="Verdana" w:hAnsi="Verdana"/>
          <w:sz w:val="22"/>
          <w:szCs w:val="22"/>
          <w:lang w:val="uk-UA"/>
        </w:rPr>
        <w:t>Результатом реалізації  заходів стане підвищення якості надання допомоги дітям та конкурентоспроможності  серед ЗОЗ  області та держави в цілому, у довготерміновій перспективі сприятиме формуванню іміджу  КП «ХМДЛ» як провідної дитячої клініки.</w:t>
      </w:r>
    </w:p>
    <w:p w14:paraId="39339D32" w14:textId="77777777" w:rsidR="009A198B" w:rsidRDefault="009A198B" w:rsidP="009A198B">
      <w:pPr>
        <w:spacing w:after="0" w:line="240" w:lineRule="auto"/>
        <w:ind w:firstLine="708"/>
        <w:jc w:val="both"/>
        <w:rPr>
          <w:rFonts w:ascii="Verdana" w:eastAsia="Times New Roman" w:hAnsi="Verdana" w:cstheme="minorHAnsi"/>
          <w:lang w:eastAsia="uk-UA"/>
        </w:rPr>
      </w:pPr>
    </w:p>
    <w:p w14:paraId="1BAE6F08" w14:textId="77777777" w:rsidR="009A198B" w:rsidRDefault="009A198B" w:rsidP="009A198B">
      <w:pPr>
        <w:spacing w:after="0" w:line="240" w:lineRule="auto"/>
        <w:ind w:firstLine="708"/>
        <w:jc w:val="both"/>
        <w:rPr>
          <w:rFonts w:ascii="Verdana" w:eastAsia="Times New Roman" w:hAnsi="Verdana" w:cstheme="minorHAnsi"/>
          <w:lang w:eastAsia="uk-UA"/>
        </w:rPr>
      </w:pPr>
    </w:p>
    <w:p w14:paraId="061AF971" w14:textId="3F86ED8D" w:rsidR="0067539F" w:rsidRPr="007D74C2" w:rsidRDefault="0067539F" w:rsidP="00AD1DC7">
      <w:pPr>
        <w:spacing w:after="0" w:line="240" w:lineRule="auto"/>
        <w:ind w:firstLine="708"/>
        <w:jc w:val="both"/>
        <w:rPr>
          <w:rFonts w:ascii="Verdana" w:hAnsi="Verdana" w:cs="Times New Roman"/>
          <w:b/>
          <w:bCs/>
          <w:color w:val="066A74"/>
        </w:rPr>
      </w:pPr>
      <w:r w:rsidRPr="007D74C2">
        <w:rPr>
          <w:rFonts w:ascii="Verdana" w:eastAsia="Times New Roman" w:hAnsi="Verdana" w:cstheme="minorHAnsi"/>
          <w:b/>
          <w:bCs/>
          <w:color w:val="066A74"/>
          <w:lang w:eastAsia="uk-UA"/>
        </w:rPr>
        <w:t xml:space="preserve">Директорка </w:t>
      </w:r>
      <w:r w:rsidRPr="007D74C2">
        <w:rPr>
          <w:rFonts w:ascii="Verdana" w:eastAsia="Times New Roman" w:hAnsi="Verdana" w:cstheme="minorHAnsi"/>
          <w:b/>
          <w:bCs/>
          <w:color w:val="066A74"/>
          <w:lang w:eastAsia="uk-UA"/>
        </w:rPr>
        <w:tab/>
      </w:r>
      <w:r w:rsidRPr="007D74C2">
        <w:rPr>
          <w:rFonts w:ascii="Verdana" w:eastAsia="Times New Roman" w:hAnsi="Verdana" w:cstheme="minorHAnsi"/>
          <w:b/>
          <w:bCs/>
          <w:color w:val="066A74"/>
          <w:lang w:eastAsia="uk-UA"/>
        </w:rPr>
        <w:tab/>
        <w:t xml:space="preserve"> </w:t>
      </w:r>
      <w:r w:rsidRPr="007D74C2">
        <w:rPr>
          <w:rFonts w:ascii="Verdana" w:eastAsia="Times New Roman" w:hAnsi="Verdana" w:cstheme="minorHAnsi"/>
          <w:b/>
          <w:bCs/>
          <w:color w:val="066A74"/>
          <w:lang w:eastAsia="uk-UA"/>
        </w:rPr>
        <w:tab/>
      </w:r>
      <w:r w:rsidRPr="007D74C2">
        <w:rPr>
          <w:rFonts w:ascii="Verdana" w:eastAsia="Times New Roman" w:hAnsi="Verdana" w:cstheme="minorHAnsi"/>
          <w:b/>
          <w:bCs/>
          <w:color w:val="066A74"/>
          <w:lang w:eastAsia="uk-UA"/>
        </w:rPr>
        <w:tab/>
      </w:r>
      <w:r w:rsidRPr="007D74C2">
        <w:rPr>
          <w:rFonts w:ascii="Verdana" w:eastAsia="Times New Roman" w:hAnsi="Verdana" w:cstheme="minorHAnsi"/>
          <w:b/>
          <w:bCs/>
          <w:color w:val="066A74"/>
          <w:lang w:eastAsia="uk-UA"/>
        </w:rPr>
        <w:tab/>
      </w:r>
      <w:r w:rsidRPr="007D74C2">
        <w:rPr>
          <w:rFonts w:ascii="Verdana" w:eastAsia="Times New Roman" w:hAnsi="Verdana" w:cstheme="minorHAnsi"/>
          <w:b/>
          <w:bCs/>
          <w:color w:val="066A74"/>
          <w:lang w:eastAsia="uk-UA"/>
        </w:rPr>
        <w:tab/>
      </w:r>
      <w:r w:rsidRPr="007D74C2">
        <w:rPr>
          <w:rFonts w:ascii="Verdana" w:eastAsia="Times New Roman" w:hAnsi="Verdana" w:cstheme="minorHAnsi"/>
          <w:b/>
          <w:bCs/>
          <w:color w:val="066A74"/>
          <w:lang w:eastAsia="uk-UA"/>
        </w:rPr>
        <w:t>Наталія ЗИМАК-ЗАКУТНЯ</w:t>
      </w:r>
    </w:p>
    <w:p w14:paraId="7C40F293" w14:textId="77777777" w:rsidR="009A198B" w:rsidRPr="007D74C2" w:rsidRDefault="009A198B" w:rsidP="009A198B">
      <w:pPr>
        <w:spacing w:after="0" w:line="240" w:lineRule="auto"/>
        <w:ind w:hanging="142"/>
        <w:rPr>
          <w:rFonts w:ascii="Verdana" w:hAnsi="Verdana" w:cs="Times New Roman"/>
          <w:b/>
          <w:bCs/>
          <w:color w:val="066A74"/>
        </w:rPr>
      </w:pPr>
    </w:p>
    <w:sectPr w:rsidR="009A198B" w:rsidRPr="007D74C2" w:rsidSect="004918D5">
      <w:headerReference w:type="default" r:id="rId9"/>
      <w:footerReference w:type="default" r:id="rId10"/>
      <w:pgSz w:w="11906" w:h="16838"/>
      <w:pgMar w:top="1819" w:right="707" w:bottom="850" w:left="1417"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70DF" w14:textId="77777777" w:rsidR="00C103BA" w:rsidRDefault="00C103BA" w:rsidP="00A77347">
      <w:pPr>
        <w:spacing w:after="0" w:line="240" w:lineRule="auto"/>
      </w:pPr>
      <w:r>
        <w:separator/>
      </w:r>
    </w:p>
  </w:endnote>
  <w:endnote w:type="continuationSeparator" w:id="0">
    <w:p w14:paraId="2C6357B4" w14:textId="77777777" w:rsidR="00C103BA" w:rsidRDefault="00C103BA" w:rsidP="00A7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ontserrat">
    <w:panose1 w:val="00000000000000000000"/>
    <w:charset w:val="CC"/>
    <w:family w:val="auto"/>
    <w:pitch w:val="variable"/>
    <w:sig w:usb0="A00002FF" w:usb1="4000207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FFEE" w14:textId="77777777" w:rsidR="008A0D4A" w:rsidRDefault="008A0D4A" w:rsidP="00A77347">
    <w:pPr>
      <w:pStyle w:val="a5"/>
      <w:rPr>
        <w:rFonts w:ascii="Montserrat" w:hAnsi="Montserrat"/>
        <w:sz w:val="16"/>
        <w:szCs w:val="16"/>
      </w:rPr>
    </w:pPr>
  </w:p>
  <w:p w14:paraId="7F570AFF" w14:textId="2E19C63E" w:rsidR="00A77347" w:rsidRPr="008A0D4A" w:rsidRDefault="00A77347" w:rsidP="00A77347">
    <w:pPr>
      <w:pStyle w:val="a5"/>
      <w:rPr>
        <w:rFonts w:ascii="Montserrat" w:hAnsi="Montserrat"/>
        <w:sz w:val="16"/>
        <w:szCs w:val="16"/>
      </w:rPr>
    </w:pPr>
    <w:r w:rsidRPr="008A0D4A">
      <w:rPr>
        <w:rFonts w:ascii="Montserrat" w:hAnsi="Montserrat"/>
        <w:sz w:val="16"/>
        <w:szCs w:val="16"/>
      </w:rPr>
      <w:t xml:space="preserve">вул. О. Ольжича, 1, м. Хмельницький, 29008, Україна,                 </w:t>
    </w:r>
  </w:p>
  <w:p w14:paraId="494DD89D" w14:textId="413CEF1E" w:rsidR="00A77347" w:rsidRPr="008A0D4A" w:rsidRDefault="00A77347" w:rsidP="00A77347">
    <w:pPr>
      <w:pStyle w:val="a5"/>
      <w:rPr>
        <w:rFonts w:ascii="Montserrat" w:hAnsi="Montserrat"/>
        <w:sz w:val="16"/>
        <w:szCs w:val="16"/>
      </w:rPr>
    </w:pPr>
    <w:r w:rsidRPr="008A0D4A">
      <w:rPr>
        <w:rFonts w:ascii="Montserrat" w:hAnsi="Montserrat"/>
        <w:noProof/>
        <w:sz w:val="16"/>
        <w:szCs w:val="16"/>
      </w:rPr>
      <w:drawing>
        <wp:anchor distT="0" distB="0" distL="114300" distR="114300" simplePos="0" relativeHeight="251663360" behindDoc="0" locked="0" layoutInCell="1" allowOverlap="1" wp14:anchorId="12C1B287" wp14:editId="694BAAFF">
          <wp:simplePos x="0" y="0"/>
          <wp:positionH relativeFrom="column">
            <wp:posOffset>3585845</wp:posOffset>
          </wp:positionH>
          <wp:positionV relativeFrom="paragraph">
            <wp:posOffset>103505</wp:posOffset>
          </wp:positionV>
          <wp:extent cx="174625" cy="157163"/>
          <wp:effectExtent l="0" t="0" r="0" b="0"/>
          <wp:wrapNone/>
          <wp:docPr id="44" name="Рисунок 44">
            <a:extLst xmlns:a="http://schemas.openxmlformats.org/drawingml/2006/main">
              <a:ext uri="{FF2B5EF4-FFF2-40B4-BE49-F238E27FC236}">
                <a16:creationId xmlns:a16="http://schemas.microsoft.com/office/drawing/2014/main" id="{9889B335-271C-A36A-E1BE-7C4EB99648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extLst>
                      <a:ext uri="{FF2B5EF4-FFF2-40B4-BE49-F238E27FC236}">
                        <a16:creationId xmlns:a16="http://schemas.microsoft.com/office/drawing/2014/main" id="{9889B335-271C-A36A-E1BE-7C4EB996486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25" cy="157163"/>
                  </a:xfrm>
                  <a:prstGeom prst="rect">
                    <a:avLst/>
                  </a:prstGeom>
                </pic:spPr>
              </pic:pic>
            </a:graphicData>
          </a:graphic>
          <wp14:sizeRelH relativeFrom="margin">
            <wp14:pctWidth>0</wp14:pctWidth>
          </wp14:sizeRelH>
          <wp14:sizeRelV relativeFrom="margin">
            <wp14:pctHeight>0</wp14:pctHeight>
          </wp14:sizeRelV>
        </wp:anchor>
      </w:drawing>
    </w:r>
    <w:r w:rsidRPr="008A0D4A">
      <w:rPr>
        <w:rFonts w:ascii="Montserrat" w:hAnsi="Montserrat"/>
        <w:noProof/>
        <w:sz w:val="16"/>
        <w:szCs w:val="16"/>
      </w:rPr>
      <mc:AlternateContent>
        <mc:Choice Requires="wps">
          <w:drawing>
            <wp:anchor distT="0" distB="0" distL="114300" distR="114300" simplePos="0" relativeHeight="251661312" behindDoc="0" locked="0" layoutInCell="1" allowOverlap="1" wp14:anchorId="7A92F113" wp14:editId="3C530160">
              <wp:simplePos x="0" y="0"/>
              <wp:positionH relativeFrom="column">
                <wp:posOffset>3782060</wp:posOffset>
              </wp:positionH>
              <wp:positionV relativeFrom="paragraph">
                <wp:posOffset>102235</wp:posOffset>
              </wp:positionV>
              <wp:extent cx="885825" cy="342900"/>
              <wp:effectExtent l="0" t="0" r="9525" b="0"/>
              <wp:wrapNone/>
              <wp:docPr id="104" name="Текстове поле 104"/>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w="6350">
                        <a:noFill/>
                      </a:ln>
                      <a:effectLst/>
                    </wps:spPr>
                    <wps:txbx>
                      <w:txbxContent>
                        <w:p w14:paraId="117BAC8C" w14:textId="77777777" w:rsidR="00A77347" w:rsidRPr="00701E88" w:rsidRDefault="00A77347" w:rsidP="00A77347">
                          <w:pPr>
                            <w:spacing w:after="0" w:line="240" w:lineRule="auto"/>
                            <w:rPr>
                              <w:rFonts w:ascii="Montserrat" w:hAnsi="Montserrat"/>
                              <w:color w:val="171717" w:themeColor="background2" w:themeShade="1A"/>
                              <w:kern w:val="24"/>
                              <w:sz w:val="18"/>
                              <w:szCs w:val="18"/>
                            </w:rPr>
                          </w:pPr>
                          <w:r w:rsidRPr="00701E88">
                            <w:rPr>
                              <w:rFonts w:ascii="Montserrat" w:hAnsi="Montserrat"/>
                              <w:color w:val="171717" w:themeColor="background2" w:themeShade="1A"/>
                              <w:kern w:val="24"/>
                              <w:sz w:val="18"/>
                              <w:szCs w:val="18"/>
                              <w:lang w:val="en-US"/>
                            </w:rPr>
                            <w:t>hmdl.km.ua</w:t>
                          </w:r>
                          <w:r w:rsidRPr="00701E88">
                            <w:rPr>
                              <w:rFonts w:ascii="Montserrat" w:hAnsi="Montserrat"/>
                              <w:color w:val="171717" w:themeColor="background2" w:themeShade="1A"/>
                              <w:kern w:val="24"/>
                              <w:sz w:val="18"/>
                              <w:szCs w:val="18"/>
                            </w:rPr>
                            <w:t xml:space="preserve"> @</w:t>
                          </w:r>
                          <w:proofErr w:type="gramStart"/>
                          <w:r w:rsidRPr="00701E88">
                            <w:rPr>
                              <w:rFonts w:ascii="Montserrat" w:hAnsi="Montserrat"/>
                              <w:color w:val="171717" w:themeColor="background2" w:themeShade="1A"/>
                              <w:kern w:val="24"/>
                              <w:sz w:val="18"/>
                              <w:szCs w:val="18"/>
                            </w:rPr>
                            <w:t>hmdl.insta</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F113" id="_x0000_t202" coordsize="21600,21600" o:spt="202" path="m,l,21600r21600,l21600,xe">
              <v:stroke joinstyle="miter"/>
              <v:path gradientshapeok="t" o:connecttype="rect"/>
            </v:shapetype>
            <v:shape id="Текстове поле 104" o:spid="_x0000_s1026" type="#_x0000_t202" style="position:absolute;margin-left:297.8pt;margin-top:8.05pt;width:69.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" filled="f" stroked="f" strokeweight=".5pt">
              <v:textbox inset="0,0,0,0">
                <w:txbxContent>
                  <w:p w14:paraId="117BAC8C" w14:textId="77777777" w:rsidR="00A77347" w:rsidRPr="00701E88" w:rsidRDefault="00A77347" w:rsidP="00A77347">
                    <w:pPr>
                      <w:spacing w:after="0" w:line="240" w:lineRule="auto"/>
                      <w:rPr>
                        <w:rFonts w:ascii="Montserrat" w:hAnsi="Montserrat"/>
                        <w:color w:val="171717" w:themeColor="background2" w:themeShade="1A"/>
                        <w:kern w:val="24"/>
                        <w:sz w:val="18"/>
                        <w:szCs w:val="18"/>
                      </w:rPr>
                    </w:pPr>
                    <w:r w:rsidRPr="00701E88">
                      <w:rPr>
                        <w:rFonts w:ascii="Montserrat" w:hAnsi="Montserrat"/>
                        <w:color w:val="171717" w:themeColor="background2" w:themeShade="1A"/>
                        <w:kern w:val="24"/>
                        <w:sz w:val="18"/>
                        <w:szCs w:val="18"/>
                        <w:lang w:val="en-US"/>
                      </w:rPr>
                      <w:t>hmdl.km.ua</w:t>
                    </w:r>
                    <w:r w:rsidRPr="00701E88">
                      <w:rPr>
                        <w:rFonts w:ascii="Montserrat" w:hAnsi="Montserrat"/>
                        <w:color w:val="171717" w:themeColor="background2" w:themeShade="1A"/>
                        <w:kern w:val="24"/>
                        <w:sz w:val="18"/>
                        <w:szCs w:val="18"/>
                      </w:rPr>
                      <w:t xml:space="preserve"> @</w:t>
                    </w:r>
                    <w:proofErr w:type="gramStart"/>
                    <w:r w:rsidRPr="00701E88">
                      <w:rPr>
                        <w:rFonts w:ascii="Montserrat" w:hAnsi="Montserrat"/>
                        <w:color w:val="171717" w:themeColor="background2" w:themeShade="1A"/>
                        <w:kern w:val="24"/>
                        <w:sz w:val="18"/>
                        <w:szCs w:val="18"/>
                      </w:rPr>
                      <w:t>hmdl.insta</w:t>
                    </w:r>
                    <w:proofErr w:type="gramEnd"/>
                  </w:p>
                </w:txbxContent>
              </v:textbox>
            </v:shape>
          </w:pict>
        </mc:Fallback>
      </mc:AlternateContent>
    </w:r>
    <w:r w:rsidRPr="008A0D4A">
      <w:rPr>
        <w:rFonts w:ascii="Montserrat" w:hAnsi="Montserrat"/>
        <w:sz w:val="16"/>
        <w:szCs w:val="16"/>
      </w:rPr>
      <w:t>Тел./факс: +38 (0382) 67-10-11, тел.: +38 (0382) 67-16-17</w:t>
    </w:r>
  </w:p>
  <w:p w14:paraId="4A7BE22A" w14:textId="0E9BB780" w:rsidR="00A77347" w:rsidRPr="008A0D4A" w:rsidRDefault="00A77347" w:rsidP="00A77347">
    <w:pPr>
      <w:pStyle w:val="a5"/>
      <w:rPr>
        <w:rFonts w:ascii="Montserrat" w:hAnsi="Montserrat"/>
        <w:color w:val="C45911" w:themeColor="accent2" w:themeShade="BF"/>
        <w:sz w:val="16"/>
        <w:szCs w:val="16"/>
      </w:rPr>
    </w:pPr>
    <w:r w:rsidRPr="008A0D4A">
      <w:rPr>
        <w:rFonts w:ascii="Montserrat" w:hAnsi="Montserrat"/>
        <w:sz w:val="16"/>
        <w:szCs w:val="16"/>
      </w:rPr>
      <w:t xml:space="preserve">Ел. адреса: </w:t>
    </w:r>
    <w:hyperlink r:id="rId2" w:history="1">
      <w:r w:rsidRPr="008A0D4A">
        <w:rPr>
          <w:rStyle w:val="a7"/>
          <w:rFonts w:ascii="Montserrat" w:hAnsi="Montserrat"/>
          <w:color w:val="C45911" w:themeColor="accent2" w:themeShade="BF"/>
          <w:sz w:val="16"/>
          <w:szCs w:val="16"/>
        </w:rPr>
        <w:t>hmdl.golovniylikar@ukr.net</w:t>
      </w:r>
    </w:hyperlink>
  </w:p>
  <w:p w14:paraId="0DA04B04" w14:textId="59AE2BBC" w:rsidR="00A77347" w:rsidRPr="008A0D4A" w:rsidRDefault="00BC2AE2" w:rsidP="00A77347">
    <w:pPr>
      <w:pStyle w:val="a5"/>
      <w:rPr>
        <w:rFonts w:ascii="Montserrat" w:hAnsi="Montserrat"/>
        <w:sz w:val="16"/>
        <w:szCs w:val="16"/>
      </w:rPr>
    </w:pPr>
    <w:r w:rsidRPr="008A0D4A">
      <w:rPr>
        <w:rFonts w:ascii="Montserrat" w:hAnsi="Montserrat"/>
        <w:noProof/>
        <w:sz w:val="16"/>
        <w:szCs w:val="16"/>
      </w:rPr>
      <w:drawing>
        <wp:anchor distT="0" distB="0" distL="114300" distR="114300" simplePos="0" relativeHeight="251662336" behindDoc="0" locked="0" layoutInCell="1" allowOverlap="1" wp14:anchorId="500A85F0" wp14:editId="300C00AA">
          <wp:simplePos x="0" y="0"/>
          <wp:positionH relativeFrom="column">
            <wp:posOffset>3576955</wp:posOffset>
          </wp:positionH>
          <wp:positionV relativeFrom="paragraph">
            <wp:posOffset>24130</wp:posOffset>
          </wp:positionV>
          <wp:extent cx="203835" cy="176558"/>
          <wp:effectExtent l="0" t="0" r="5715" b="0"/>
          <wp:wrapNone/>
          <wp:docPr id="45" name="Рисунок 45">
            <a:extLst xmlns:a="http://schemas.openxmlformats.org/drawingml/2006/main">
              <a:ext uri="{FF2B5EF4-FFF2-40B4-BE49-F238E27FC236}">
                <a16:creationId xmlns:a16="http://schemas.microsoft.com/office/drawing/2014/main" id="{887A5845-EC64-2942-749C-27974FA33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a:extLst>
                      <a:ext uri="{FF2B5EF4-FFF2-40B4-BE49-F238E27FC236}">
                        <a16:creationId xmlns:a16="http://schemas.microsoft.com/office/drawing/2014/main" id="{887A5845-EC64-2942-749C-27974FA33EA8}"/>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3835" cy="176558"/>
                  </a:xfrm>
                  <a:prstGeom prst="rect">
                    <a:avLst/>
                  </a:prstGeom>
                </pic:spPr>
              </pic:pic>
            </a:graphicData>
          </a:graphic>
          <wp14:sizeRelH relativeFrom="margin">
            <wp14:pctWidth>0</wp14:pctWidth>
          </wp14:sizeRelH>
          <wp14:sizeRelV relativeFrom="margin">
            <wp14:pctHeight>0</wp14:pctHeight>
          </wp14:sizeRelV>
        </wp:anchor>
      </w:drawing>
    </w:r>
    <w:r w:rsidR="00A77347" w:rsidRPr="008A0D4A">
      <w:rPr>
        <w:rFonts w:ascii="Montserrat" w:hAnsi="Montserrat"/>
        <w:sz w:val="16"/>
        <w:szCs w:val="16"/>
      </w:rPr>
      <w:t xml:space="preserve">Вебсайт: </w:t>
    </w:r>
    <w:hyperlink r:id="rId4" w:history="1">
      <w:r w:rsidR="00A77347" w:rsidRPr="008A0D4A">
        <w:rPr>
          <w:rStyle w:val="a7"/>
          <w:rFonts w:ascii="Montserrat" w:hAnsi="Montserrat"/>
          <w:color w:val="C45911" w:themeColor="accent2" w:themeShade="BF"/>
          <w:kern w:val="24"/>
          <w:sz w:val="16"/>
          <w:szCs w:val="16"/>
          <w:lang w:val="en-US"/>
        </w:rPr>
        <w:t>www</w:t>
      </w:r>
      <w:r w:rsidR="00A77347" w:rsidRPr="008A0D4A">
        <w:rPr>
          <w:rStyle w:val="a7"/>
          <w:rFonts w:ascii="Montserrat" w:hAnsi="Montserrat"/>
          <w:color w:val="C45911" w:themeColor="accent2" w:themeShade="BF"/>
          <w:kern w:val="24"/>
          <w:sz w:val="16"/>
          <w:szCs w:val="16"/>
          <w:lang w:val="ru-RU"/>
        </w:rPr>
        <w:t>.</w:t>
      </w:r>
      <w:r w:rsidR="00A77347" w:rsidRPr="008A0D4A">
        <w:rPr>
          <w:rStyle w:val="a7"/>
          <w:rFonts w:ascii="Montserrat" w:hAnsi="Montserrat"/>
          <w:color w:val="C45911" w:themeColor="accent2" w:themeShade="BF"/>
          <w:kern w:val="24"/>
          <w:sz w:val="16"/>
          <w:szCs w:val="16"/>
          <w:lang w:val="en-US"/>
        </w:rPr>
        <w:t>hmdl</w:t>
      </w:r>
      <w:r w:rsidR="00A77347" w:rsidRPr="008A0D4A">
        <w:rPr>
          <w:rStyle w:val="a7"/>
          <w:rFonts w:ascii="Montserrat" w:hAnsi="Montserrat"/>
          <w:color w:val="C45911" w:themeColor="accent2" w:themeShade="BF"/>
          <w:kern w:val="24"/>
          <w:sz w:val="16"/>
          <w:szCs w:val="16"/>
          <w:lang w:val="ru-RU"/>
        </w:rPr>
        <w:t>.</w:t>
      </w:r>
      <w:r w:rsidR="00A77347" w:rsidRPr="008A0D4A">
        <w:rPr>
          <w:rStyle w:val="a7"/>
          <w:rFonts w:ascii="Montserrat" w:hAnsi="Montserrat"/>
          <w:color w:val="C45911" w:themeColor="accent2" w:themeShade="BF"/>
          <w:kern w:val="24"/>
          <w:sz w:val="16"/>
          <w:szCs w:val="16"/>
          <w:lang w:val="en-US"/>
        </w:rPr>
        <w:t>km</w:t>
      </w:r>
      <w:r w:rsidR="00A77347" w:rsidRPr="008A0D4A">
        <w:rPr>
          <w:rStyle w:val="a7"/>
          <w:rFonts w:ascii="Montserrat" w:hAnsi="Montserrat"/>
          <w:color w:val="C45911" w:themeColor="accent2" w:themeShade="BF"/>
          <w:kern w:val="24"/>
          <w:sz w:val="16"/>
          <w:szCs w:val="16"/>
          <w:lang w:val="ru-RU"/>
        </w:rPr>
        <w:t>.</w:t>
      </w:r>
      <w:r w:rsidR="00A77347" w:rsidRPr="008A0D4A">
        <w:rPr>
          <w:rStyle w:val="a7"/>
          <w:rFonts w:ascii="Montserrat" w:hAnsi="Montserrat"/>
          <w:color w:val="C45911" w:themeColor="accent2" w:themeShade="BF"/>
          <w:kern w:val="24"/>
          <w:sz w:val="16"/>
          <w:szCs w:val="16"/>
          <w:lang w:val="en-US"/>
        </w:rPr>
        <w:t>ua</w:t>
      </w:r>
    </w:hyperlink>
    <w:r w:rsidR="00A77347" w:rsidRPr="008A0D4A">
      <w:rPr>
        <w:rFonts w:ascii="Montserrat" w:hAnsi="Montserrat"/>
        <w:color w:val="171717" w:themeColor="background2" w:themeShade="1A"/>
        <w:kern w:val="24"/>
        <w:sz w:val="16"/>
        <w:szCs w:val="16"/>
      </w:rPr>
      <w:t xml:space="preserve"> </w:t>
    </w:r>
  </w:p>
  <w:p w14:paraId="202528AD" w14:textId="77777777" w:rsidR="00A77347" w:rsidRPr="00A77347" w:rsidRDefault="00A77347" w:rsidP="00A77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DC90" w14:textId="77777777" w:rsidR="00C103BA" w:rsidRDefault="00C103BA" w:rsidP="00A77347">
      <w:pPr>
        <w:spacing w:after="0" w:line="240" w:lineRule="auto"/>
      </w:pPr>
      <w:r>
        <w:separator/>
      </w:r>
    </w:p>
  </w:footnote>
  <w:footnote w:type="continuationSeparator" w:id="0">
    <w:p w14:paraId="36223249" w14:textId="77777777" w:rsidR="00C103BA" w:rsidRDefault="00C103BA" w:rsidP="00A7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4F1" w14:textId="3783D99F" w:rsidR="00A77347" w:rsidRDefault="004918D5" w:rsidP="004918D5">
    <w:pPr>
      <w:pStyle w:val="a3"/>
    </w:pPr>
    <w:r>
      <w:rPr>
        <w:noProof/>
      </w:rPr>
      <w:drawing>
        <wp:anchor distT="0" distB="0" distL="114300" distR="114300" simplePos="0" relativeHeight="251659264" behindDoc="0" locked="0" layoutInCell="1" allowOverlap="1" wp14:anchorId="022B4632" wp14:editId="24725F20">
          <wp:simplePos x="0" y="0"/>
          <wp:positionH relativeFrom="column">
            <wp:posOffset>-33020</wp:posOffset>
          </wp:positionH>
          <wp:positionV relativeFrom="paragraph">
            <wp:posOffset>62865</wp:posOffset>
          </wp:positionV>
          <wp:extent cx="2571750" cy="511810"/>
          <wp:effectExtent l="0" t="0" r="0" b="254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2571750" cy="5118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AD80421" wp14:editId="58407796">
          <wp:simplePos x="0" y="0"/>
          <wp:positionH relativeFrom="column">
            <wp:posOffset>-606425</wp:posOffset>
          </wp:positionH>
          <wp:positionV relativeFrom="paragraph">
            <wp:posOffset>91440</wp:posOffset>
          </wp:positionV>
          <wp:extent cx="506730" cy="485775"/>
          <wp:effectExtent l="0" t="0" r="0" b="952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730" cy="485775"/>
                  </a:xfrm>
                  <a:prstGeom prst="rect">
                    <a:avLst/>
                  </a:prstGeom>
                  <a:noFill/>
                </pic:spPr>
              </pic:pic>
            </a:graphicData>
          </a:graphic>
        </wp:anchor>
      </w:drawing>
    </w:r>
    <w:r w:rsidR="00A77347" w:rsidRPr="00A77347">
      <w:rPr>
        <w:noProof/>
      </w:rPr>
      <w:drawing>
        <wp:anchor distT="0" distB="0" distL="114300" distR="114300" simplePos="0" relativeHeight="251658240" behindDoc="1" locked="0" layoutInCell="1" allowOverlap="1" wp14:anchorId="2741E94C" wp14:editId="227ABB58">
          <wp:simplePos x="0" y="0"/>
          <wp:positionH relativeFrom="column">
            <wp:posOffset>-642933</wp:posOffset>
          </wp:positionH>
          <wp:positionV relativeFrom="paragraph">
            <wp:posOffset>573405</wp:posOffset>
          </wp:positionV>
          <wp:extent cx="9389110" cy="231775"/>
          <wp:effectExtent l="0" t="0" r="254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t="76059" r="9383"/>
                  <a:stretch/>
                </pic:blipFill>
                <pic:spPr bwMode="auto">
                  <a:xfrm>
                    <a:off x="0" y="0"/>
                    <a:ext cx="9389110" cy="231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B0120" w14:textId="77777777" w:rsidR="00A77347" w:rsidRDefault="00A773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44D"/>
    <w:multiLevelType w:val="hybridMultilevel"/>
    <w:tmpl w:val="DAD01C1C"/>
    <w:lvl w:ilvl="0" w:tplc="B4549880">
      <w:start w:val="201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140054C"/>
    <w:multiLevelType w:val="hybridMultilevel"/>
    <w:tmpl w:val="EB1AF93E"/>
    <w:lvl w:ilvl="0" w:tplc="04220003">
      <w:start w:val="1"/>
      <w:numFmt w:val="bullet"/>
      <w:lvlText w:val="o"/>
      <w:lvlJc w:val="left"/>
      <w:pPr>
        <w:ind w:left="1776" w:hanging="360"/>
      </w:pPr>
      <w:rPr>
        <w:rFonts w:ascii="Courier New" w:hAnsi="Courier New" w:cs="Courier New"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15:restartNumberingAfterBreak="0">
    <w:nsid w:val="163B19F7"/>
    <w:multiLevelType w:val="hybridMultilevel"/>
    <w:tmpl w:val="81201D8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6EE50B9"/>
    <w:multiLevelType w:val="hybridMultilevel"/>
    <w:tmpl w:val="3DD47CEC"/>
    <w:lvl w:ilvl="0" w:tplc="04220003">
      <w:start w:val="1"/>
      <w:numFmt w:val="bullet"/>
      <w:lvlText w:val="o"/>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1E321A95"/>
    <w:multiLevelType w:val="hybridMultilevel"/>
    <w:tmpl w:val="085884F2"/>
    <w:lvl w:ilvl="0" w:tplc="94AE7184">
      <w:start w:val="1"/>
      <w:numFmt w:val="bullet"/>
      <w:lvlText w:val=""/>
      <w:lvlJc w:val="left"/>
      <w:pPr>
        <w:ind w:left="720" w:hanging="360"/>
      </w:pPr>
      <w:rPr>
        <w:rFonts w:ascii="Wingdings" w:hAnsi="Wingdings" w:hint="default"/>
        <w:color w:val="00ABBD"/>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3D4AB5"/>
    <w:multiLevelType w:val="hybridMultilevel"/>
    <w:tmpl w:val="9522A9C8"/>
    <w:lvl w:ilvl="0" w:tplc="94AE7184">
      <w:start w:val="1"/>
      <w:numFmt w:val="bullet"/>
      <w:lvlText w:val=""/>
      <w:lvlJc w:val="left"/>
      <w:pPr>
        <w:ind w:left="1428" w:hanging="360"/>
      </w:pPr>
      <w:rPr>
        <w:rFonts w:ascii="Wingdings" w:hAnsi="Wingdings" w:hint="default"/>
        <w:color w:val="00ABBD"/>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1BA2638"/>
    <w:multiLevelType w:val="hybridMultilevel"/>
    <w:tmpl w:val="E63C3F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227760C1"/>
    <w:multiLevelType w:val="hybridMultilevel"/>
    <w:tmpl w:val="3992263A"/>
    <w:lvl w:ilvl="0" w:tplc="94AE7184">
      <w:start w:val="1"/>
      <w:numFmt w:val="bullet"/>
      <w:lvlText w:val=""/>
      <w:lvlJc w:val="left"/>
      <w:pPr>
        <w:ind w:left="1428" w:hanging="360"/>
      </w:pPr>
      <w:rPr>
        <w:rFonts w:ascii="Wingdings" w:hAnsi="Wingdings" w:hint="default"/>
        <w:color w:val="00ABBD"/>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23095BB1"/>
    <w:multiLevelType w:val="hybridMultilevel"/>
    <w:tmpl w:val="7D9C434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3535605"/>
    <w:multiLevelType w:val="hybridMultilevel"/>
    <w:tmpl w:val="F1EA6620"/>
    <w:lvl w:ilvl="0" w:tplc="AF2E10AC">
      <w:numFmt w:val="bullet"/>
      <w:lvlText w:val=""/>
      <w:lvlJc w:val="left"/>
      <w:pPr>
        <w:ind w:left="786" w:hanging="360"/>
      </w:pPr>
      <w:rPr>
        <w:rFonts w:ascii="Symbol" w:eastAsiaTheme="minorHAnsi" w:hAnsi="Symbol" w:cstheme="minorBidi"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250732CC"/>
    <w:multiLevelType w:val="hybridMultilevel"/>
    <w:tmpl w:val="FB8CF1A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D95BAE"/>
    <w:multiLevelType w:val="hybridMultilevel"/>
    <w:tmpl w:val="80663776"/>
    <w:lvl w:ilvl="0" w:tplc="7C5C3D14">
      <w:start w:val="1"/>
      <w:numFmt w:val="bullet"/>
      <w:lvlText w:val=""/>
      <w:lvlJc w:val="left"/>
      <w:pPr>
        <w:ind w:left="1146" w:hanging="360"/>
      </w:pPr>
      <w:rPr>
        <w:rFonts w:ascii="Wingdings" w:hAnsi="Wingdings" w:hint="default"/>
        <w:color w:val="09AEBF"/>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15:restartNumberingAfterBreak="0">
    <w:nsid w:val="2F836FA1"/>
    <w:multiLevelType w:val="hybridMultilevel"/>
    <w:tmpl w:val="A6209FA2"/>
    <w:lvl w:ilvl="0" w:tplc="916C62DA">
      <w:numFmt w:val="bullet"/>
      <w:lvlText w:val=""/>
      <w:lvlJc w:val="left"/>
      <w:pPr>
        <w:ind w:left="1065" w:hanging="705"/>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3A0EDC"/>
    <w:multiLevelType w:val="hybridMultilevel"/>
    <w:tmpl w:val="ED522566"/>
    <w:lvl w:ilvl="0" w:tplc="94AE7184">
      <w:start w:val="1"/>
      <w:numFmt w:val="bullet"/>
      <w:lvlText w:val=""/>
      <w:lvlJc w:val="left"/>
      <w:pPr>
        <w:ind w:left="1428" w:hanging="360"/>
      </w:pPr>
      <w:rPr>
        <w:rFonts w:ascii="Wingdings" w:hAnsi="Wingdings" w:hint="default"/>
        <w:color w:val="00ABBD"/>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4D696F98"/>
    <w:multiLevelType w:val="hybridMultilevel"/>
    <w:tmpl w:val="C7DCF2DA"/>
    <w:lvl w:ilvl="0" w:tplc="94AE7184">
      <w:start w:val="1"/>
      <w:numFmt w:val="bullet"/>
      <w:lvlText w:val=""/>
      <w:lvlJc w:val="left"/>
      <w:pPr>
        <w:ind w:left="1428" w:hanging="360"/>
      </w:pPr>
      <w:rPr>
        <w:rFonts w:ascii="Wingdings" w:hAnsi="Wingdings" w:hint="default"/>
        <w:color w:val="00ABBD"/>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4EA96F0F"/>
    <w:multiLevelType w:val="hybridMultilevel"/>
    <w:tmpl w:val="C74415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F681470"/>
    <w:multiLevelType w:val="hybridMultilevel"/>
    <w:tmpl w:val="972AA480"/>
    <w:lvl w:ilvl="0" w:tplc="94AE7184">
      <w:start w:val="1"/>
      <w:numFmt w:val="bullet"/>
      <w:lvlText w:val=""/>
      <w:lvlJc w:val="left"/>
      <w:pPr>
        <w:ind w:left="720" w:hanging="360"/>
      </w:pPr>
      <w:rPr>
        <w:rFonts w:ascii="Wingdings" w:hAnsi="Wingdings" w:hint="default"/>
        <w:color w:val="00ABBD"/>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9352EA"/>
    <w:multiLevelType w:val="hybridMultilevel"/>
    <w:tmpl w:val="AAC49764"/>
    <w:lvl w:ilvl="0" w:tplc="94AE7184">
      <w:start w:val="1"/>
      <w:numFmt w:val="bullet"/>
      <w:lvlText w:val=""/>
      <w:lvlJc w:val="left"/>
      <w:pPr>
        <w:ind w:left="1428" w:hanging="360"/>
      </w:pPr>
      <w:rPr>
        <w:rFonts w:ascii="Wingdings" w:hAnsi="Wingdings" w:hint="default"/>
        <w:color w:val="00ABBD"/>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51939C3"/>
    <w:multiLevelType w:val="hybridMultilevel"/>
    <w:tmpl w:val="56D0F4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57A55CD"/>
    <w:multiLevelType w:val="hybridMultilevel"/>
    <w:tmpl w:val="E25ED66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CC05E10"/>
    <w:multiLevelType w:val="hybridMultilevel"/>
    <w:tmpl w:val="B9765BFC"/>
    <w:lvl w:ilvl="0" w:tplc="94AE7184">
      <w:start w:val="1"/>
      <w:numFmt w:val="bullet"/>
      <w:lvlText w:val=""/>
      <w:lvlJc w:val="left"/>
      <w:pPr>
        <w:ind w:left="1068" w:hanging="360"/>
      </w:pPr>
      <w:rPr>
        <w:rFonts w:ascii="Wingdings" w:hAnsi="Wingdings" w:hint="default"/>
        <w:color w:val="00ABBD"/>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15:restartNumberingAfterBreak="0">
    <w:nsid w:val="71081819"/>
    <w:multiLevelType w:val="hybridMultilevel"/>
    <w:tmpl w:val="36502B92"/>
    <w:lvl w:ilvl="0" w:tplc="7C5C3D14">
      <w:start w:val="1"/>
      <w:numFmt w:val="bullet"/>
      <w:lvlText w:val=""/>
      <w:lvlJc w:val="left"/>
      <w:pPr>
        <w:ind w:left="1428" w:hanging="360"/>
      </w:pPr>
      <w:rPr>
        <w:rFonts w:ascii="Wingdings" w:hAnsi="Wingdings" w:hint="default"/>
        <w:color w:val="09AEBF"/>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74A64FF7"/>
    <w:multiLevelType w:val="hybridMultilevel"/>
    <w:tmpl w:val="E81276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74CD239A"/>
    <w:multiLevelType w:val="hybridMultilevel"/>
    <w:tmpl w:val="13C6FE8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96E3B02"/>
    <w:multiLevelType w:val="multilevel"/>
    <w:tmpl w:val="10AC0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9B5B19"/>
    <w:multiLevelType w:val="hybridMultilevel"/>
    <w:tmpl w:val="22AEDC8E"/>
    <w:lvl w:ilvl="0" w:tplc="7C5C3D14">
      <w:start w:val="1"/>
      <w:numFmt w:val="bullet"/>
      <w:lvlText w:val=""/>
      <w:lvlJc w:val="left"/>
      <w:pPr>
        <w:ind w:left="1776" w:hanging="360"/>
      </w:pPr>
      <w:rPr>
        <w:rFonts w:ascii="Wingdings" w:hAnsi="Wingdings" w:hint="default"/>
        <w:color w:val="09AEBF"/>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6" w15:restartNumberingAfterBreak="0">
    <w:nsid w:val="7D6673A6"/>
    <w:multiLevelType w:val="hybridMultilevel"/>
    <w:tmpl w:val="ECE01340"/>
    <w:lvl w:ilvl="0" w:tplc="04220003">
      <w:start w:val="1"/>
      <w:numFmt w:val="bullet"/>
      <w:lvlText w:val="o"/>
      <w:lvlJc w:val="left"/>
      <w:pPr>
        <w:ind w:left="1710" w:hanging="360"/>
      </w:pPr>
      <w:rPr>
        <w:rFonts w:ascii="Courier New" w:hAnsi="Courier New" w:cs="Courier New" w:hint="default"/>
      </w:rPr>
    </w:lvl>
    <w:lvl w:ilvl="1" w:tplc="04220003" w:tentative="1">
      <w:start w:val="1"/>
      <w:numFmt w:val="bullet"/>
      <w:lvlText w:val="o"/>
      <w:lvlJc w:val="left"/>
      <w:pPr>
        <w:ind w:left="2430" w:hanging="360"/>
      </w:pPr>
      <w:rPr>
        <w:rFonts w:ascii="Courier New" w:hAnsi="Courier New" w:cs="Courier New" w:hint="default"/>
      </w:rPr>
    </w:lvl>
    <w:lvl w:ilvl="2" w:tplc="04220005" w:tentative="1">
      <w:start w:val="1"/>
      <w:numFmt w:val="bullet"/>
      <w:lvlText w:val=""/>
      <w:lvlJc w:val="left"/>
      <w:pPr>
        <w:ind w:left="3150" w:hanging="360"/>
      </w:pPr>
      <w:rPr>
        <w:rFonts w:ascii="Wingdings" w:hAnsi="Wingdings" w:hint="default"/>
      </w:rPr>
    </w:lvl>
    <w:lvl w:ilvl="3" w:tplc="04220001" w:tentative="1">
      <w:start w:val="1"/>
      <w:numFmt w:val="bullet"/>
      <w:lvlText w:val=""/>
      <w:lvlJc w:val="left"/>
      <w:pPr>
        <w:ind w:left="3870" w:hanging="360"/>
      </w:pPr>
      <w:rPr>
        <w:rFonts w:ascii="Symbol" w:hAnsi="Symbol" w:hint="default"/>
      </w:rPr>
    </w:lvl>
    <w:lvl w:ilvl="4" w:tplc="04220003" w:tentative="1">
      <w:start w:val="1"/>
      <w:numFmt w:val="bullet"/>
      <w:lvlText w:val="o"/>
      <w:lvlJc w:val="left"/>
      <w:pPr>
        <w:ind w:left="4590" w:hanging="360"/>
      </w:pPr>
      <w:rPr>
        <w:rFonts w:ascii="Courier New" w:hAnsi="Courier New" w:cs="Courier New" w:hint="default"/>
      </w:rPr>
    </w:lvl>
    <w:lvl w:ilvl="5" w:tplc="04220005" w:tentative="1">
      <w:start w:val="1"/>
      <w:numFmt w:val="bullet"/>
      <w:lvlText w:val=""/>
      <w:lvlJc w:val="left"/>
      <w:pPr>
        <w:ind w:left="5310" w:hanging="360"/>
      </w:pPr>
      <w:rPr>
        <w:rFonts w:ascii="Wingdings" w:hAnsi="Wingdings" w:hint="default"/>
      </w:rPr>
    </w:lvl>
    <w:lvl w:ilvl="6" w:tplc="04220001" w:tentative="1">
      <w:start w:val="1"/>
      <w:numFmt w:val="bullet"/>
      <w:lvlText w:val=""/>
      <w:lvlJc w:val="left"/>
      <w:pPr>
        <w:ind w:left="6030" w:hanging="360"/>
      </w:pPr>
      <w:rPr>
        <w:rFonts w:ascii="Symbol" w:hAnsi="Symbol" w:hint="default"/>
      </w:rPr>
    </w:lvl>
    <w:lvl w:ilvl="7" w:tplc="04220003" w:tentative="1">
      <w:start w:val="1"/>
      <w:numFmt w:val="bullet"/>
      <w:lvlText w:val="o"/>
      <w:lvlJc w:val="left"/>
      <w:pPr>
        <w:ind w:left="6750" w:hanging="360"/>
      </w:pPr>
      <w:rPr>
        <w:rFonts w:ascii="Courier New" w:hAnsi="Courier New" w:cs="Courier New" w:hint="default"/>
      </w:rPr>
    </w:lvl>
    <w:lvl w:ilvl="8" w:tplc="04220005" w:tentative="1">
      <w:start w:val="1"/>
      <w:numFmt w:val="bullet"/>
      <w:lvlText w:val=""/>
      <w:lvlJc w:val="left"/>
      <w:pPr>
        <w:ind w:left="7470" w:hanging="360"/>
      </w:pPr>
      <w:rPr>
        <w:rFonts w:ascii="Wingdings" w:hAnsi="Wingdings" w:hint="default"/>
      </w:rPr>
    </w:lvl>
  </w:abstractNum>
  <w:abstractNum w:abstractNumId="27" w15:restartNumberingAfterBreak="0">
    <w:nsid w:val="7F313E9A"/>
    <w:multiLevelType w:val="hybridMultilevel"/>
    <w:tmpl w:val="B7D62E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2"/>
  </w:num>
  <w:num w:numId="5">
    <w:abstractNumId w:val="13"/>
  </w:num>
  <w:num w:numId="6">
    <w:abstractNumId w:val="5"/>
  </w:num>
  <w:num w:numId="7">
    <w:abstractNumId w:val="16"/>
  </w:num>
  <w:num w:numId="8">
    <w:abstractNumId w:val="7"/>
  </w:num>
  <w:num w:numId="9">
    <w:abstractNumId w:val="14"/>
  </w:num>
  <w:num w:numId="10">
    <w:abstractNumId w:val="17"/>
  </w:num>
  <w:num w:numId="11">
    <w:abstractNumId w:val="24"/>
  </w:num>
  <w:num w:numId="12">
    <w:abstractNumId w:val="18"/>
  </w:num>
  <w:num w:numId="13">
    <w:abstractNumId w:val="6"/>
  </w:num>
  <w:num w:numId="14">
    <w:abstractNumId w:val="22"/>
  </w:num>
  <w:num w:numId="15">
    <w:abstractNumId w:val="8"/>
  </w:num>
  <w:num w:numId="16">
    <w:abstractNumId w:val="2"/>
  </w:num>
  <w:num w:numId="17">
    <w:abstractNumId w:val="1"/>
  </w:num>
  <w:num w:numId="18">
    <w:abstractNumId w:val="3"/>
  </w:num>
  <w:num w:numId="19">
    <w:abstractNumId w:val="26"/>
  </w:num>
  <w:num w:numId="20">
    <w:abstractNumId w:val="19"/>
  </w:num>
  <w:num w:numId="21">
    <w:abstractNumId w:val="15"/>
  </w:num>
  <w:num w:numId="22">
    <w:abstractNumId w:val="27"/>
  </w:num>
  <w:num w:numId="23">
    <w:abstractNumId w:val="23"/>
  </w:num>
  <w:num w:numId="24">
    <w:abstractNumId w:val="0"/>
  </w:num>
  <w:num w:numId="25">
    <w:abstractNumId w:val="10"/>
  </w:num>
  <w:num w:numId="26">
    <w:abstractNumId w:val="20"/>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47"/>
    <w:rsid w:val="00000019"/>
    <w:rsid w:val="000064E0"/>
    <w:rsid w:val="00020186"/>
    <w:rsid w:val="0003718B"/>
    <w:rsid w:val="000375DA"/>
    <w:rsid w:val="00053436"/>
    <w:rsid w:val="000630EB"/>
    <w:rsid w:val="00074124"/>
    <w:rsid w:val="00075533"/>
    <w:rsid w:val="00086246"/>
    <w:rsid w:val="000909A2"/>
    <w:rsid w:val="00094EBC"/>
    <w:rsid w:val="000966A2"/>
    <w:rsid w:val="000A041D"/>
    <w:rsid w:val="00113C78"/>
    <w:rsid w:val="00136C5E"/>
    <w:rsid w:val="00142A32"/>
    <w:rsid w:val="00146038"/>
    <w:rsid w:val="00150BEE"/>
    <w:rsid w:val="001742E3"/>
    <w:rsid w:val="001B3A24"/>
    <w:rsid w:val="001D42FD"/>
    <w:rsid w:val="001E251B"/>
    <w:rsid w:val="00202CC6"/>
    <w:rsid w:val="00216ABC"/>
    <w:rsid w:val="0023682F"/>
    <w:rsid w:val="00246845"/>
    <w:rsid w:val="00261B27"/>
    <w:rsid w:val="0027051D"/>
    <w:rsid w:val="00285990"/>
    <w:rsid w:val="002B0C3A"/>
    <w:rsid w:val="002C3980"/>
    <w:rsid w:val="002E1248"/>
    <w:rsid w:val="00333780"/>
    <w:rsid w:val="003C5AC4"/>
    <w:rsid w:val="003E726A"/>
    <w:rsid w:val="003F48A8"/>
    <w:rsid w:val="0040261C"/>
    <w:rsid w:val="00415D91"/>
    <w:rsid w:val="00426BE2"/>
    <w:rsid w:val="00443896"/>
    <w:rsid w:val="00445769"/>
    <w:rsid w:val="004660F8"/>
    <w:rsid w:val="0047517A"/>
    <w:rsid w:val="00475D14"/>
    <w:rsid w:val="0048473B"/>
    <w:rsid w:val="004918D5"/>
    <w:rsid w:val="004A3E1E"/>
    <w:rsid w:val="004C1D7A"/>
    <w:rsid w:val="005069A6"/>
    <w:rsid w:val="00515F8C"/>
    <w:rsid w:val="00520AB4"/>
    <w:rsid w:val="005458E6"/>
    <w:rsid w:val="00576E04"/>
    <w:rsid w:val="005A7B98"/>
    <w:rsid w:val="005C2F45"/>
    <w:rsid w:val="005E2FD8"/>
    <w:rsid w:val="005F1E68"/>
    <w:rsid w:val="0062423B"/>
    <w:rsid w:val="00657EBF"/>
    <w:rsid w:val="0067539F"/>
    <w:rsid w:val="00681FA1"/>
    <w:rsid w:val="006958AA"/>
    <w:rsid w:val="006F35EE"/>
    <w:rsid w:val="00701E88"/>
    <w:rsid w:val="0071122F"/>
    <w:rsid w:val="007229BC"/>
    <w:rsid w:val="00746FDB"/>
    <w:rsid w:val="00754724"/>
    <w:rsid w:val="00757B9E"/>
    <w:rsid w:val="00770E68"/>
    <w:rsid w:val="00795C16"/>
    <w:rsid w:val="007B7049"/>
    <w:rsid w:val="007C02E1"/>
    <w:rsid w:val="007C1C37"/>
    <w:rsid w:val="007C2BC1"/>
    <w:rsid w:val="007D74C2"/>
    <w:rsid w:val="007F1C61"/>
    <w:rsid w:val="007F4FF3"/>
    <w:rsid w:val="0080635F"/>
    <w:rsid w:val="00823542"/>
    <w:rsid w:val="0088244E"/>
    <w:rsid w:val="00887737"/>
    <w:rsid w:val="008A0D4A"/>
    <w:rsid w:val="008C10F4"/>
    <w:rsid w:val="008C58FE"/>
    <w:rsid w:val="008E79CB"/>
    <w:rsid w:val="00931751"/>
    <w:rsid w:val="0095193E"/>
    <w:rsid w:val="00970923"/>
    <w:rsid w:val="0097779C"/>
    <w:rsid w:val="009A198B"/>
    <w:rsid w:val="009E4A2E"/>
    <w:rsid w:val="009E791F"/>
    <w:rsid w:val="00A47D30"/>
    <w:rsid w:val="00A70EB1"/>
    <w:rsid w:val="00A77347"/>
    <w:rsid w:val="00AB5676"/>
    <w:rsid w:val="00AD1DC7"/>
    <w:rsid w:val="00B00FE1"/>
    <w:rsid w:val="00B27462"/>
    <w:rsid w:val="00B95B7D"/>
    <w:rsid w:val="00BA3B84"/>
    <w:rsid w:val="00BC2AE2"/>
    <w:rsid w:val="00BC7E47"/>
    <w:rsid w:val="00BF5531"/>
    <w:rsid w:val="00BF5568"/>
    <w:rsid w:val="00C00717"/>
    <w:rsid w:val="00C02B10"/>
    <w:rsid w:val="00C0757F"/>
    <w:rsid w:val="00C103BA"/>
    <w:rsid w:val="00C4166A"/>
    <w:rsid w:val="00C46807"/>
    <w:rsid w:val="00C64956"/>
    <w:rsid w:val="00C87172"/>
    <w:rsid w:val="00CD1F7E"/>
    <w:rsid w:val="00CD4E69"/>
    <w:rsid w:val="00CE77A9"/>
    <w:rsid w:val="00D043FF"/>
    <w:rsid w:val="00D50BA8"/>
    <w:rsid w:val="00D541CB"/>
    <w:rsid w:val="00D706B6"/>
    <w:rsid w:val="00D96FF5"/>
    <w:rsid w:val="00DA1436"/>
    <w:rsid w:val="00DA1E4F"/>
    <w:rsid w:val="00DB1291"/>
    <w:rsid w:val="00DB28EA"/>
    <w:rsid w:val="00DD5D90"/>
    <w:rsid w:val="00E05A4E"/>
    <w:rsid w:val="00E25572"/>
    <w:rsid w:val="00E4053D"/>
    <w:rsid w:val="00E45592"/>
    <w:rsid w:val="00E51A55"/>
    <w:rsid w:val="00EA3256"/>
    <w:rsid w:val="00EE3DD4"/>
    <w:rsid w:val="00EF4181"/>
    <w:rsid w:val="00F0001A"/>
    <w:rsid w:val="00F0334D"/>
    <w:rsid w:val="00F24D99"/>
    <w:rsid w:val="00F41F0D"/>
    <w:rsid w:val="00F508F6"/>
    <w:rsid w:val="00F52E78"/>
    <w:rsid w:val="00F96246"/>
    <w:rsid w:val="00FA2BFD"/>
    <w:rsid w:val="00FE7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79399F"/>
  <w15:chartTrackingRefBased/>
  <w15:docId w15:val="{1FF07D4E-0BC7-4A8B-BE3E-2BAB42E2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34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77347"/>
  </w:style>
  <w:style w:type="paragraph" w:styleId="a5">
    <w:name w:val="footer"/>
    <w:basedOn w:val="a"/>
    <w:link w:val="a6"/>
    <w:uiPriority w:val="99"/>
    <w:unhideWhenUsed/>
    <w:rsid w:val="00A7734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77347"/>
  </w:style>
  <w:style w:type="character" w:styleId="a7">
    <w:name w:val="Hyperlink"/>
    <w:basedOn w:val="a0"/>
    <w:uiPriority w:val="99"/>
    <w:unhideWhenUsed/>
    <w:rsid w:val="00A77347"/>
    <w:rPr>
      <w:color w:val="0563C1" w:themeColor="hyperlink"/>
      <w:u w:val="single"/>
    </w:rPr>
  </w:style>
  <w:style w:type="paragraph" w:styleId="a8">
    <w:name w:val="List Paragraph"/>
    <w:basedOn w:val="a"/>
    <w:uiPriority w:val="34"/>
    <w:qFormat/>
    <w:rsid w:val="00701E88"/>
    <w:pPr>
      <w:ind w:left="720"/>
      <w:contextualSpacing/>
    </w:pPr>
  </w:style>
  <w:style w:type="character" w:styleId="a9">
    <w:name w:val="Unresolved Mention"/>
    <w:basedOn w:val="a0"/>
    <w:uiPriority w:val="99"/>
    <w:semiHidden/>
    <w:unhideWhenUsed/>
    <w:rsid w:val="0097779C"/>
    <w:rPr>
      <w:color w:val="605E5C"/>
      <w:shd w:val="clear" w:color="auto" w:fill="E1DFDD"/>
    </w:rPr>
  </w:style>
  <w:style w:type="table" w:styleId="aa">
    <w:name w:val="Table Grid"/>
    <w:basedOn w:val="a1"/>
    <w:uiPriority w:val="39"/>
    <w:rsid w:val="00F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
    <w:rsid w:val="0067539F"/>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c">
    <w:name w:val="Normal (Web)"/>
    <w:basedOn w:val="a"/>
    <w:uiPriority w:val="99"/>
    <w:semiHidden/>
    <w:unhideWhenUsed/>
    <w:rsid w:val="0067539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2">
    <w:name w:val="Plain Table 2"/>
    <w:basedOn w:val="a1"/>
    <w:uiPriority w:val="42"/>
    <w:rsid w:val="000755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7482">
      <w:bodyDiv w:val="1"/>
      <w:marLeft w:val="0"/>
      <w:marRight w:val="0"/>
      <w:marTop w:val="0"/>
      <w:marBottom w:val="0"/>
      <w:divBdr>
        <w:top w:val="none" w:sz="0" w:space="0" w:color="auto"/>
        <w:left w:val="none" w:sz="0" w:space="0" w:color="auto"/>
        <w:bottom w:val="none" w:sz="0" w:space="0" w:color="auto"/>
        <w:right w:val="none" w:sz="0" w:space="0" w:color="auto"/>
      </w:divBdr>
      <w:divsChild>
        <w:div w:id="9068941">
          <w:marLeft w:val="0"/>
          <w:marRight w:val="0"/>
          <w:marTop w:val="0"/>
          <w:marBottom w:val="0"/>
          <w:divBdr>
            <w:top w:val="none" w:sz="0" w:space="0" w:color="auto"/>
            <w:left w:val="none" w:sz="0" w:space="0" w:color="auto"/>
            <w:bottom w:val="none" w:sz="0" w:space="0" w:color="auto"/>
            <w:right w:val="none" w:sz="0" w:space="0" w:color="auto"/>
          </w:divBdr>
          <w:divsChild>
            <w:div w:id="1409225185">
              <w:marLeft w:val="0"/>
              <w:marRight w:val="0"/>
              <w:marTop w:val="0"/>
              <w:marBottom w:val="0"/>
              <w:divBdr>
                <w:top w:val="none" w:sz="0" w:space="0" w:color="auto"/>
                <w:left w:val="none" w:sz="0" w:space="0" w:color="auto"/>
                <w:bottom w:val="none" w:sz="0" w:space="0" w:color="auto"/>
                <w:right w:val="none" w:sz="0" w:space="0" w:color="auto"/>
              </w:divBdr>
              <w:divsChild>
                <w:div w:id="387147146">
                  <w:marLeft w:val="0"/>
                  <w:marRight w:val="0"/>
                  <w:marTop w:val="0"/>
                  <w:marBottom w:val="0"/>
                  <w:divBdr>
                    <w:top w:val="none" w:sz="0" w:space="0" w:color="auto"/>
                    <w:left w:val="none" w:sz="0" w:space="0" w:color="auto"/>
                    <w:bottom w:val="none" w:sz="0" w:space="0" w:color="auto"/>
                    <w:right w:val="none" w:sz="0" w:space="0" w:color="auto"/>
                  </w:divBdr>
                  <w:divsChild>
                    <w:div w:id="15887738">
                      <w:marLeft w:val="0"/>
                      <w:marRight w:val="0"/>
                      <w:marTop w:val="0"/>
                      <w:marBottom w:val="0"/>
                      <w:divBdr>
                        <w:top w:val="none" w:sz="0" w:space="0" w:color="auto"/>
                        <w:left w:val="none" w:sz="0" w:space="0" w:color="auto"/>
                        <w:bottom w:val="none" w:sz="0" w:space="0" w:color="auto"/>
                        <w:right w:val="none" w:sz="0" w:space="0" w:color="auto"/>
                      </w:divBdr>
                      <w:divsChild>
                        <w:div w:id="582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3561">
                  <w:marLeft w:val="0"/>
                  <w:marRight w:val="0"/>
                  <w:marTop w:val="0"/>
                  <w:marBottom w:val="0"/>
                  <w:divBdr>
                    <w:top w:val="none" w:sz="0" w:space="0" w:color="auto"/>
                    <w:left w:val="none" w:sz="0" w:space="0" w:color="auto"/>
                    <w:bottom w:val="none" w:sz="0" w:space="0" w:color="auto"/>
                    <w:right w:val="none" w:sz="0" w:space="0" w:color="auto"/>
                  </w:divBdr>
                  <w:divsChild>
                    <w:div w:id="1539849873">
                      <w:marLeft w:val="0"/>
                      <w:marRight w:val="0"/>
                      <w:marTop w:val="0"/>
                      <w:marBottom w:val="0"/>
                      <w:divBdr>
                        <w:top w:val="none" w:sz="0" w:space="0" w:color="auto"/>
                        <w:left w:val="none" w:sz="0" w:space="0" w:color="auto"/>
                        <w:bottom w:val="none" w:sz="0" w:space="0" w:color="auto"/>
                        <w:right w:val="none" w:sz="0" w:space="0" w:color="auto"/>
                      </w:divBdr>
                      <w:divsChild>
                        <w:div w:id="507401381">
                          <w:marLeft w:val="0"/>
                          <w:marRight w:val="0"/>
                          <w:marTop w:val="0"/>
                          <w:marBottom w:val="0"/>
                          <w:divBdr>
                            <w:top w:val="none" w:sz="0" w:space="0" w:color="auto"/>
                            <w:left w:val="none" w:sz="0" w:space="0" w:color="auto"/>
                            <w:bottom w:val="none" w:sz="0" w:space="0" w:color="auto"/>
                            <w:right w:val="none" w:sz="0" w:space="0" w:color="auto"/>
                          </w:divBdr>
                          <w:divsChild>
                            <w:div w:id="1448356554">
                              <w:marLeft w:val="0"/>
                              <w:marRight w:val="0"/>
                              <w:marTop w:val="0"/>
                              <w:marBottom w:val="0"/>
                              <w:divBdr>
                                <w:top w:val="none" w:sz="0" w:space="0" w:color="auto"/>
                                <w:left w:val="none" w:sz="0" w:space="0" w:color="auto"/>
                                <w:bottom w:val="none" w:sz="0" w:space="0" w:color="auto"/>
                                <w:right w:val="none" w:sz="0" w:space="0" w:color="auto"/>
                              </w:divBdr>
                              <w:divsChild>
                                <w:div w:id="2967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382037">
      <w:bodyDiv w:val="1"/>
      <w:marLeft w:val="0"/>
      <w:marRight w:val="0"/>
      <w:marTop w:val="0"/>
      <w:marBottom w:val="0"/>
      <w:divBdr>
        <w:top w:val="none" w:sz="0" w:space="0" w:color="auto"/>
        <w:left w:val="none" w:sz="0" w:space="0" w:color="auto"/>
        <w:bottom w:val="none" w:sz="0" w:space="0" w:color="auto"/>
        <w:right w:val="none" w:sz="0" w:space="0" w:color="auto"/>
      </w:divBdr>
    </w:div>
    <w:div w:id="13668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hmdl.golovniylikar@ukr.net" TargetMode="External"/><Relationship Id="rId1" Type="http://schemas.openxmlformats.org/officeDocument/2006/relationships/image" Target="media/image5.png"/><Relationship Id="rId4" Type="http://schemas.openxmlformats.org/officeDocument/2006/relationships/hyperlink" Target="http://www.hmdl.km.u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8F08-9209-4B3F-83B8-BC4502F9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14012</Words>
  <Characters>7988</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Akhmedzhanova</dc:creator>
  <cp:keywords/>
  <dc:description/>
  <cp:lastModifiedBy>Diana Akhmedzhanova</cp:lastModifiedBy>
  <cp:revision>9</cp:revision>
  <dcterms:created xsi:type="dcterms:W3CDTF">2025-03-24T08:48:00Z</dcterms:created>
  <dcterms:modified xsi:type="dcterms:W3CDTF">2025-03-24T09:31:00Z</dcterms:modified>
</cp:coreProperties>
</file>