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12" w:before="24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Річний звіт керівника за 2024 рік</w:t>
      </w:r>
    </w:p>
    <w:p>
      <w:pPr>
        <w:pStyle w:val="Normal"/>
        <w:spacing w:lineRule="auto" w:line="312" w:before="120" w:after="0"/>
        <w:ind w:firstLine="709"/>
        <w:jc w:val="both"/>
        <w:rPr>
          <w:color w:val="000000"/>
          <w:sz w:val="28"/>
          <w:szCs w:val="28"/>
          <w:highlight w:val="white"/>
          <w:lang w:val="uk-UA"/>
        </w:rPr>
      </w:pPr>
      <w:r>
        <w:rPr>
          <w:color w:val="000000"/>
          <w:sz w:val="28"/>
          <w:szCs w:val="28"/>
          <w:shd w:fill="FFFFFF" w:val="clear"/>
          <w:lang w:val="uk-UA"/>
        </w:rPr>
        <w:t>Впродовж 2024 року я, як керівник підприємства, здійснювала поточне управління підприємством та забезпечувала його діяльність.</w:t>
      </w:r>
    </w:p>
    <w:p>
      <w:pPr>
        <w:pStyle w:val="2"/>
        <w:keepNext w:val="true"/>
        <w:widowControl/>
        <w:numPr>
          <w:ilvl w:val="1"/>
          <w:numId w:val="1"/>
        </w:numPr>
        <w:suppressAutoHyphens w:val="true"/>
        <w:bidi w:val="0"/>
        <w:spacing w:lineRule="auto" w:line="312" w:before="0" w:after="0"/>
        <w:ind w:left="0" w:right="0" w:firstLine="737"/>
        <w:jc w:val="both"/>
        <w:outlineLvl w:val="1"/>
        <w:rPr/>
      </w:pPr>
      <w:r>
        <w:rPr>
          <w:rFonts w:cs="Times New Roman" w:ascii="Times New Roman" w:hAnsi="Times New Roman"/>
          <w:b w:val="false"/>
          <w:i w:val="false"/>
          <w:color w:val="000000"/>
          <w:lang w:val="uk-UA" w:eastAsia="uk-UA"/>
        </w:rPr>
        <w:t>В</w:t>
      </w:r>
      <w:r>
        <w:rPr>
          <w:rFonts w:cs="Times New Roman" w:ascii="Times New Roman" w:hAnsi="Times New Roman"/>
          <w:b w:val="false"/>
          <w:i w:val="false"/>
          <w:lang w:val="uk-UA"/>
        </w:rPr>
        <w:t xml:space="preserve"> зв’язку </w:t>
      </w:r>
      <w:r>
        <w:rPr>
          <w:rFonts w:cs="Times New Roman" w:ascii="Times New Roman" w:hAnsi="Times New Roman"/>
          <w:b w:val="false"/>
          <w:i w:val="false"/>
          <w:color w:val="000000"/>
          <w:lang w:val="uk-UA"/>
        </w:rPr>
        <w:t>з продовженням воєнного стану та функціонуванням надалі в будівлі підприємства Штабу допомоги вимушеним переселенцям</w:t>
      </w:r>
      <w:r>
        <w:rPr>
          <w:rFonts w:cs="Times New Roman" w:ascii="Times New Roman" w:hAnsi="Times New Roman"/>
          <w:b w:val="false"/>
          <w:i w:val="false"/>
          <w:color w:val="000000"/>
          <w:lang w:val="uk-UA" w:eastAsia="uk-UA"/>
        </w:rPr>
        <w:t xml:space="preserve"> </w:t>
      </w:r>
      <w:r>
        <w:rPr>
          <w:rFonts w:cs="Times New Roman" w:ascii="Times New Roman" w:hAnsi="Times New Roman"/>
          <w:b w:val="false"/>
          <w:i w:val="false"/>
          <w:lang w:val="uk-UA"/>
        </w:rPr>
        <w:t xml:space="preserve">впродовж 2024 року і до 01 липня </w:t>
      </w:r>
      <w:r>
        <w:rPr>
          <w:rFonts w:cs="Times New Roman" w:ascii="Times New Roman" w:hAnsi="Times New Roman"/>
          <w:b w:val="false"/>
          <w:i w:val="false"/>
          <w:color w:val="000000"/>
          <w:lang w:val="uk-UA" w:eastAsia="uk-UA"/>
        </w:rPr>
        <w:t xml:space="preserve">основну діяльність з демонстрування кінофільмів міське комунальне підприємство – кінотеатр ім. Т.Г. Шевченка не відновлювало.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lang w:val="uk-UA" w:eastAsia="uk-UA"/>
        </w:rPr>
        <w:t xml:space="preserve">Проте, починаючи з вересня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lang w:val="uk-UA" w:eastAsia="uk-UA"/>
        </w:rPr>
        <w:t xml:space="preserve">і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lang w:val="uk-UA" w:eastAsia="uk-UA"/>
        </w:rPr>
        <w:t xml:space="preserve">до кінця року підприємством для учнів місцевих шкіл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lang w:val="uk-UA" w:eastAsia="uk-UA"/>
        </w:rPr>
        <w:t>періодично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lang w:val="uk-UA" w:eastAsia="uk-UA"/>
        </w:rPr>
        <w:t xml:space="preserve">, а в грудні — і для пересічних відвідувачів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lang w:val="uk-UA" w:eastAsia="uk-UA"/>
        </w:rPr>
        <w:t>на постійній основі почали демонструватися кінострічки.</w:t>
      </w:r>
    </w:p>
    <w:p>
      <w:pPr>
        <w:pStyle w:val="2"/>
        <w:keepNext w:val="true"/>
        <w:widowControl/>
        <w:numPr>
          <w:ilvl w:val="1"/>
          <w:numId w:val="1"/>
        </w:numPr>
        <w:suppressAutoHyphens w:val="true"/>
        <w:bidi w:val="0"/>
        <w:spacing w:lineRule="auto" w:line="312" w:before="0" w:after="0"/>
        <w:ind w:left="0" w:right="0" w:firstLine="737"/>
        <w:jc w:val="both"/>
        <w:outlineLvl w:val="1"/>
        <w:rPr/>
      </w:pPr>
      <w:r>
        <w:rPr>
          <w:rFonts w:cs="Times New Roman" w:ascii="Times New Roman" w:hAnsi="Times New Roman"/>
          <w:b w:val="false"/>
          <w:i w:val="false"/>
          <w:lang w:val="uk-UA"/>
        </w:rPr>
        <w:t>Доходи в цілому по кінотеатру за 2024 рік склали 5183,6 тис. грн. (без ПДВ), що порівняно з 2023 роком більше на 16,2%, в той час коли витрати підприємства склали 5266,8 тис. грн., що порівняно з 2023 роком більше на 13,7%. Враховуючи вищезазначене забезпечити беззбиткову роботу підприємства в 2024 році було складно.</w:t>
      </w:r>
    </w:p>
    <w:p>
      <w:pPr>
        <w:pStyle w:val="Normal"/>
        <w:spacing w:lineRule="auto" w:line="288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повноцінного відновлення діяльності кінотеатру в грудні 2024 року за кошти міського бюджету підприємством через систему відкритих торгів придбано інтегрований медіа сервер </w:t>
      </w:r>
      <w:r>
        <w:rPr>
          <w:color w:val="000000"/>
          <w:sz w:val="28"/>
          <w:szCs w:val="28"/>
          <w:lang w:val="en-US"/>
        </w:rPr>
        <w:t>Dolby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IMS</w:t>
      </w:r>
      <w:r>
        <w:rPr>
          <w:color w:val="000000"/>
          <w:sz w:val="28"/>
          <w:szCs w:val="28"/>
          <w:lang w:val="uk-UA"/>
        </w:rPr>
        <w:t>3000</w:t>
      </w:r>
      <w:r>
        <w:rPr>
          <w:color w:val="000000"/>
          <w:sz w:val="28"/>
          <w:szCs w:val="28"/>
          <w:lang w:val="uk-UA" w:eastAsia="uk-UA"/>
        </w:rPr>
        <w:t xml:space="preserve"> вартістю 380832,50 грн. без ПДВ., завдяки якому кінотеатр розпочав роботу із демонстрації прокатних кінофільмів для мешканців міста.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Протягом звітного періоду підприємством за власні кошти було придбано касовий апарат </w:t>
      </w:r>
      <w:r>
        <w:rPr>
          <w:color w:val="000000"/>
          <w:sz w:val="28"/>
          <w:szCs w:val="28"/>
          <w:lang w:val="en-US" w:eastAsia="uk-UA"/>
        </w:rPr>
        <w:t>MINI</w:t>
      </w:r>
      <w:r>
        <w:rPr>
          <w:color w:val="000000"/>
          <w:sz w:val="28"/>
          <w:szCs w:val="28"/>
          <w:lang w:eastAsia="uk-UA"/>
        </w:rPr>
        <w:t>-</w:t>
      </w:r>
      <w:r>
        <w:rPr>
          <w:color w:val="000000"/>
          <w:sz w:val="28"/>
          <w:szCs w:val="28"/>
          <w:lang w:val="en-US" w:eastAsia="uk-UA"/>
        </w:rPr>
        <w:t>T</w:t>
      </w:r>
      <w:r>
        <w:rPr>
          <w:color w:val="000000"/>
          <w:sz w:val="28"/>
          <w:szCs w:val="28"/>
          <w:lang w:eastAsia="uk-UA"/>
        </w:rPr>
        <w:t xml:space="preserve">400 </w:t>
      </w:r>
      <w:r>
        <w:rPr>
          <w:color w:val="000000"/>
          <w:sz w:val="28"/>
          <w:szCs w:val="28"/>
          <w:lang w:val="en-US" w:eastAsia="uk-UA"/>
        </w:rPr>
        <w:t>ME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вартістю 6825 грн. без ПДВ.</w:t>
      </w:r>
    </w:p>
    <w:p>
      <w:pPr>
        <w:pStyle w:val="Normal"/>
        <w:spacing w:lineRule="auto" w:line="28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>Згідно рішення виконавчого комітету Хмельницької міської ради від 28.12.2023 року №1689 “Про організацію громадських робіт в умовах воєнного стану на території Хмельницької міської територіальної громади у 2024 році та втрату чинності рішення виконавчого комітету” впродовж 2024 року на базі підприємства організовано проведення оплачуваних громадських робіт, а саме плетіння маскувальних сіток. До роботи залучено дев’ять підсобних робітників.</w:t>
      </w:r>
    </w:p>
    <w:p>
      <w:pPr>
        <w:pStyle w:val="Normal"/>
        <w:spacing w:lineRule="auto" w:line="28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>Протягом звітного періоду працівниками кінотеатру встановлено тимчасовий захист на аварійних ділянках сходової частини з тильної сторони фасаду.</w:t>
      </w:r>
    </w:p>
    <w:p>
      <w:pPr>
        <w:pStyle w:val="Normal"/>
        <w:spacing w:lineRule="auto" w:line="288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01.07.2024 року Штаб допомоги вимушеним переселенцям залишив приміщення кінотеатру. Власними силами працівників підприємства проведено роботи з косметичного відновлення місця, де дислокувався Штаб. В кінозалі було почищено звукопоглинаючі дошки, пофарбовано підлогу,  полагоджено та встановлено глядацькі крісла та дивани. Для рівномірного розсіювання світла проектора на поверхню полотна було натягнуто проекційний екран, а також очищено верхній шар його покриття від пилу, бруду, домішок. Також для низької світлової віддачі в залі проведено заміну ламп розжарювання. </w:t>
      </w:r>
    </w:p>
    <w:p>
      <w:pPr>
        <w:pStyle w:val="Normal"/>
        <w:spacing w:lineRule="auto" w:line="288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Завдяки проведеній роботі Управління культури і туризму Хмельницької міської ради вже 14 вересня мало можливість провести в приміщенні кінотеатру живу презентацію нового альбому гурту «Чумацький шлях»в рамках проєкту "Поза часом" за підтримки УКФ. </w:t>
      </w:r>
    </w:p>
    <w:p>
      <w:pPr>
        <w:pStyle w:val="Normal"/>
        <w:spacing w:lineRule="auto" w:line="312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Важливим напрямком діяльності кінотеатру впродовж 2024 року було проведення цікавих подій та заходів, а також показів стрічок приурочених  загальнодержавним святам та пам’ятним датам, а саме:</w:t>
      </w:r>
    </w:p>
    <w:p>
      <w:pPr>
        <w:pStyle w:val="ListParagraph"/>
        <w:ind w:lef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Проведення виставки екзотичних тропічних риб – 17.06.24-30.06.2024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Кінопокази під відкритим небом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>«Мистецькому дворику»</w:t>
      </w:r>
      <w:r>
        <w:rPr>
          <w:sz w:val="28"/>
          <w:szCs w:val="28"/>
        </w:rPr>
        <w:t>:</w:t>
      </w:r>
    </w:p>
    <w:p>
      <w:pPr>
        <w:pStyle w:val="ListParagraph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26.07 – «Душа»</w:t>
      </w:r>
    </w:p>
    <w:p>
      <w:pPr>
        <w:pStyle w:val="ListParagraph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15.07 – «Микита Кожум’яка», «Заборонений»,</w:t>
      </w:r>
    </w:p>
    <w:p>
      <w:pPr>
        <w:pStyle w:val="ListParagraph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28.06 – «Мавка», «Поводир»,</w:t>
      </w:r>
    </w:p>
    <w:p>
      <w:pPr>
        <w:pStyle w:val="ListParagraph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29.06 – до відзначення дня Німеччини у Хмельницькому – показ «Жив був пес» у німецькому перекладі, «Регентруда».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Покази фільмів у старостинських округах 01.06.2024 – 31.08.2024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Протягом серпня - проведення тренінгів Центру готовності цивільних  на теми:</w:t>
      </w:r>
    </w:p>
    <w:p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ІПСО Інформаційна війна;</w:t>
      </w:r>
    </w:p>
    <w:p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Тактична медицина 1.0;</w:t>
      </w:r>
    </w:p>
    <w:p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Алгоритм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;</w:t>
      </w:r>
    </w:p>
    <w:p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OSINT</w:t>
      </w:r>
      <w:r>
        <w:rPr>
          <w:sz w:val="28"/>
          <w:szCs w:val="28"/>
          <w:lang w:val="uk-UA"/>
        </w:rPr>
        <w:t xml:space="preserve"> Розвідка відкритих джерел;</w:t>
      </w:r>
    </w:p>
    <w:p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Особисте спорядження бійця.</w:t>
      </w:r>
    </w:p>
    <w:p>
      <w:pPr>
        <w:pStyle w:val="ListParagraph"/>
        <w:numPr>
          <w:ilvl w:val="1"/>
          <w:numId w:val="3"/>
        </w:numPr>
        <w:ind w:left="0" w:hanging="0"/>
        <w:rPr>
          <w:color w:val="1C1E21"/>
          <w:sz w:val="28"/>
          <w:szCs w:val="28"/>
          <w:lang w:val="uk-UA"/>
        </w:rPr>
      </w:pPr>
      <w:r>
        <w:rPr>
          <w:sz w:val="28"/>
          <w:szCs w:val="28"/>
        </w:rPr>
        <w:t>24</w:t>
      </w:r>
      <w:r>
        <w:rPr>
          <w:sz w:val="28"/>
          <w:szCs w:val="28"/>
          <w:lang w:val="uk-UA"/>
        </w:rPr>
        <w:t>.08 – показ на набережній змонтованого відео Навчально-тренувального центру, відео до Дня Незалежності «ДНК українця», фільм «День Незалежності», «Мавка», «Іван-Сила».</w:t>
      </w:r>
    </w:p>
    <w:p>
      <w:pPr>
        <w:pStyle w:val="Normal"/>
        <w:spacing w:lineRule="auto" w:line="288"/>
        <w:ind w:firstLine="709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312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діяльності МКП – кінотеатр ім. Т.Г. Шевченка впродовж 2024 року продемонстровано 8 кінострічок, здійснено показ 52 сеансів, кількість глядачів, які відвідали кінотеатр на платній основі, склала 1984 особи.</w:t>
      </w:r>
    </w:p>
    <w:p>
      <w:pPr>
        <w:pStyle w:val="Normal"/>
        <w:spacing w:lineRule="auto" w:line="312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>
      <w:start w:val="26"/>
      <w:numFmt w:val="bullet"/>
      <w:lvlText w:val="-"/>
      <w:lvlJc w:val="left"/>
      <w:pPr>
        <w:ind w:left="1488" w:hanging="360"/>
      </w:pPr>
      <w:rPr>
        <w:rFonts w:ascii="Times New Roman" w:hAnsi="Times New Roman" w:cs="Times New Roman" w:hint="default"/>
        <w:sz w:val="28"/>
        <w:rFonts w:cs="Times New Roman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274f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cb6263"/>
    <w:pPr>
      <w:keepNext w:val="true"/>
      <w:suppressAutoHyphens w:val="true"/>
      <w:spacing w:before="240" w:after="60"/>
      <w:ind w:left="1789" w:hanging="360"/>
      <w:outlineLvl w:val="1"/>
    </w:pPr>
    <w:rPr>
      <w:rFonts w:ascii="Arial" w:hAnsi="Arial" w:cs="Arial"/>
      <w:b/>
      <w:bCs/>
      <w:i/>
      <w:iCs/>
      <w:kern w:val="2"/>
      <w:sz w:val="28"/>
      <w:szCs w:val="28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qFormat/>
    <w:rsid w:val="000271de"/>
    <w:rPr>
      <w:sz w:val="24"/>
      <w:szCs w:val="24"/>
    </w:rPr>
  </w:style>
  <w:style w:type="character" w:styleId="Style14" w:customStyle="1">
    <w:name w:val="Нижний колонтитул Знак"/>
    <w:basedOn w:val="DefaultParagraphFont"/>
    <w:link w:val="a5"/>
    <w:qFormat/>
    <w:rsid w:val="000271de"/>
    <w:rPr>
      <w:sz w:val="24"/>
      <w:szCs w:val="24"/>
    </w:rPr>
  </w:style>
  <w:style w:type="character" w:styleId="Style15" w:customStyle="1">
    <w:name w:val="Текст сноски Знак"/>
    <w:basedOn w:val="DefaultParagraphFont"/>
    <w:link w:val="a7"/>
    <w:uiPriority w:val="99"/>
    <w:qFormat/>
    <w:rsid w:val="00291a53"/>
    <w:rPr>
      <w:lang w:eastAsia="ar-SA"/>
    </w:rPr>
  </w:style>
  <w:style w:type="character" w:styleId="Style16">
    <w:name w:val="Гіперпосилання"/>
    <w:basedOn w:val="DefaultParagraphFont"/>
    <w:rsid w:val="008b4a61"/>
    <w:rPr>
      <w:color w:val="0000FF" w:themeColor="hyperlink"/>
      <w:u w:val="single"/>
    </w:rPr>
  </w:style>
  <w:style w:type="character" w:styleId="21" w:customStyle="1">
    <w:name w:val="Заголовок 2 Знак"/>
    <w:basedOn w:val="DefaultParagraphFont"/>
    <w:link w:val="2"/>
    <w:qFormat/>
    <w:rsid w:val="00cb6263"/>
    <w:rPr>
      <w:rFonts w:ascii="Arial" w:hAnsi="Arial" w:cs="Arial"/>
      <w:b/>
      <w:bCs/>
      <w:i/>
      <w:iCs/>
      <w:kern w:val="2"/>
      <w:sz w:val="28"/>
      <w:szCs w:val="28"/>
      <w:lang w:eastAsia="zh-CN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Times New Roman" w:cs="Times New Roman"/>
      <w:sz w:val="28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Header"/>
    <w:basedOn w:val="Normal"/>
    <w:link w:val="a4"/>
    <w:rsid w:val="000271de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Footer"/>
    <w:basedOn w:val="Normal"/>
    <w:link w:val="a6"/>
    <w:rsid w:val="000271de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Footnote Text"/>
    <w:basedOn w:val="Normal"/>
    <w:link w:val="a8"/>
    <w:uiPriority w:val="99"/>
    <w:rsid w:val="00291a53"/>
    <w:pPr>
      <w:suppressAutoHyphens w:val="true"/>
    </w:pPr>
    <w:rPr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764b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83AE-7EF7-490E-981E-807EA2FE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Application>LibreOffice/6.2.1.2$Windows_X86_64 LibreOffice_project/7bcb35dc3024a62dea0caee87020152d1ee96e71</Application>
  <Pages>2</Pages>
  <Words>528</Words>
  <Characters>3477</Characters>
  <CharactersWithSpaces>3985</CharactersWithSpaces>
  <Paragraphs>26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2017-03-16T14:30:00Z</dcterms:created>
  <dc:creator>COMP</dc:creator>
  <dc:description/>
  <dc:language>uk-UA</dc:language>
  <cp:lastModifiedBy/>
  <cp:lastPrinted>2024-03-27T14:44:00Z</cp:lastPrinted>
  <dcterms:modified xsi:type="dcterms:W3CDTF">2025-03-25T14:49:37Z</dcterms:modified>
  <cp:revision>96</cp:revision>
  <dc:subject/>
  <dc:title>Р О З Ш И Ф Р О В К 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