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9824" w14:textId="77777777" w:rsidR="00EB2247" w:rsidRPr="003D637B" w:rsidRDefault="00EB2247" w:rsidP="00EB2247">
      <w:pPr>
        <w:widowControl w:val="0"/>
        <w:spacing w:after="120"/>
        <w:jc w:val="center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Звіт про управління</w:t>
      </w:r>
    </w:p>
    <w:p w14:paraId="2DDD665C" w14:textId="1C203594" w:rsidR="00EB2247" w:rsidRPr="003D637B" w:rsidRDefault="00EB2247" w:rsidP="00EB2247">
      <w:pPr>
        <w:widowControl w:val="0"/>
        <w:spacing w:after="120"/>
        <w:jc w:val="center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ХКП "</w:t>
      </w:r>
      <w:proofErr w:type="spellStart"/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Електротранс</w:t>
      </w:r>
      <w:proofErr w:type="spellEnd"/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" за 202</w:t>
      </w:r>
      <w:r w:rsidR="00185938"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eastAsia="uk-UA" w:bidi="uk-UA"/>
          <w14:ligatures w14:val="none"/>
        </w:rPr>
        <w:t>3</w:t>
      </w: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рік</w:t>
      </w:r>
    </w:p>
    <w:p w14:paraId="21ACA3A0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</w:p>
    <w:p w14:paraId="24867FD4" w14:textId="490D9D90" w:rsidR="00D2501C" w:rsidRPr="003D637B" w:rsidRDefault="00EB2247" w:rsidP="00D2501C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Діяльність підприємства</w:t>
      </w:r>
    </w:p>
    <w:p w14:paraId="56E2B3FE" w14:textId="77777777" w:rsidR="00D2501C" w:rsidRPr="003D637B" w:rsidRDefault="00D2501C" w:rsidP="00D2501C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ab/>
        <w:t>Хмельницьке комунальне підприємство "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Електротранс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" створено в 1970 році і забезпечує пасажирські перевезення тролейбусами і автобусами в місті Хмельницькому.</w:t>
      </w:r>
    </w:p>
    <w:p w14:paraId="521FF828" w14:textId="77777777" w:rsidR="00D2501C" w:rsidRPr="003D637B" w:rsidRDefault="00D2501C" w:rsidP="00D2501C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ab/>
        <w:t xml:space="preserve">Підприємство забезпечує перевезення пасажирів тролейбусами на 26 маршрутах щоденно і в робочі дні випускає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eastAsia="uk-UA" w:bidi="uk-UA"/>
          <w14:ligatures w14:val="none"/>
        </w:rPr>
        <w:t>68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одиниць. Тролейбусний парк налічує 105 пасажирських тролейбусів, з них 75 виконують виробничу програму, решта 30 одиниць списані рішеннями міської ради та очікують розібрання і здачі в металобрухт або очікують списання.</w:t>
      </w:r>
    </w:p>
    <w:p w14:paraId="3257E5EC" w14:textId="48697E30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Коефіцієнт технічної готовності тролейбусів становив </w:t>
      </w:r>
      <w:r w:rsidR="00B8441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eastAsia="uk-UA" w:bidi="uk-UA"/>
          <w14:ligatures w14:val="none"/>
        </w:rPr>
        <w:t>68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% або 100 одиниць.</w:t>
      </w:r>
    </w:p>
    <w:p w14:paraId="3D8A88B9" w14:textId="77777777" w:rsidR="00D2501C" w:rsidRPr="003D637B" w:rsidRDefault="00D2501C" w:rsidP="00D2501C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Крім того підприємство нараховує:</w:t>
      </w:r>
    </w:p>
    <w:p w14:paraId="06AC02FE" w14:textId="77777777" w:rsidR="00D2501C" w:rsidRPr="003D637B" w:rsidRDefault="00D2501C" w:rsidP="00D2501C">
      <w:pPr>
        <w:widowControl w:val="0"/>
        <w:numPr>
          <w:ilvl w:val="0"/>
          <w:numId w:val="3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10 тягових підстанцій;</w:t>
      </w:r>
    </w:p>
    <w:p w14:paraId="0FFB7F53" w14:textId="77777777" w:rsidR="00D2501C" w:rsidRPr="003D637B" w:rsidRDefault="00D2501C" w:rsidP="00D2501C">
      <w:pPr>
        <w:widowControl w:val="0"/>
        <w:numPr>
          <w:ilvl w:val="0"/>
          <w:numId w:val="3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199,8 км довжини контактної мережі в один провід; (14 км контактного проводу замінено);</w:t>
      </w:r>
    </w:p>
    <w:p w14:paraId="3E505DB5" w14:textId="77777777" w:rsidR="00D2501C" w:rsidRPr="003D637B" w:rsidRDefault="00D2501C" w:rsidP="00D2501C">
      <w:pPr>
        <w:widowControl w:val="0"/>
        <w:numPr>
          <w:ilvl w:val="0"/>
          <w:numId w:val="3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en-US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83,2 км кабельних мереж;</w:t>
      </w:r>
    </w:p>
    <w:p w14:paraId="2C27B854" w14:textId="77777777" w:rsidR="00D2501C" w:rsidRPr="003D637B" w:rsidRDefault="00D2501C" w:rsidP="00D2501C">
      <w:pPr>
        <w:widowControl w:val="0"/>
        <w:numPr>
          <w:ilvl w:val="0"/>
          <w:numId w:val="3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en-US" w:eastAsia="uk-UA" w:bidi="uk-UA"/>
          <w14:ligatures w14:val="none"/>
        </w:rPr>
        <w:t>4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спеціальних тролейбуса;</w:t>
      </w:r>
    </w:p>
    <w:p w14:paraId="0AD7449D" w14:textId="77777777" w:rsidR="00D2501C" w:rsidRPr="003D637B" w:rsidRDefault="00D2501C" w:rsidP="00D2501C">
      <w:pPr>
        <w:widowControl w:val="0"/>
        <w:numPr>
          <w:ilvl w:val="0"/>
          <w:numId w:val="3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eastAsia="uk-UA" w:bidi="uk-UA"/>
          <w14:ligatures w14:val="none"/>
        </w:rPr>
        <w:t>7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одиниць спецтехніки (в минулому році отримані вантажна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ГАЗель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і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спецавтомобіль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АТ-70 на базі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en-US" w:eastAsia="uk-UA" w:bidi="uk-UA"/>
          <w14:ligatures w14:val="none"/>
        </w:rPr>
        <w:t>IVECO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) </w:t>
      </w:r>
    </w:p>
    <w:p w14:paraId="711C5C35" w14:textId="20DF6EFA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Незважаючи на обмеження тролейбусного руху, пов’язан</w:t>
      </w:r>
      <w:r w:rsidR="008924C2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ого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з аварійними відключеннями енергопостачання, та мобілізацію  працівників в лави ЗСУ, підприємству вдалось забезпечити стабільний виробничий процес</w:t>
      </w:r>
      <w:r w:rsidR="00D2501C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</w:t>
      </w:r>
    </w:p>
    <w:p w14:paraId="680A5669" w14:textId="34E4C3BD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За рахунок поповнення рухомого складу автобусів та відкриття 5-ти маршрутів, випуск автобусів на лінію у другій половині року був збільшений до 2</w:t>
      </w:r>
      <w:r w:rsidR="00B8441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eastAsia="uk-UA" w:bidi="uk-UA"/>
          <w14:ligatures w14:val="none"/>
        </w:rPr>
        <w:t>1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одиниць.</w:t>
      </w:r>
    </w:p>
    <w:p w14:paraId="6FA1EF68" w14:textId="72C30C3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Коефіцієнт технічної готовності тролейбусного парку становив </w:t>
      </w:r>
      <w:r w:rsidR="00B8441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eastAsia="uk-UA" w:bidi="uk-UA"/>
          <w14:ligatures w14:val="none"/>
        </w:rPr>
        <w:t>68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% або 7</w:t>
      </w:r>
      <w:r w:rsidR="00B8441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eastAsia="uk-UA" w:bidi="uk-UA"/>
          <w14:ligatures w14:val="none"/>
        </w:rPr>
        <w:t>1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справних одиниць.</w:t>
      </w:r>
    </w:p>
    <w:p w14:paraId="326A4CE3" w14:textId="74EC7749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За звітний 202</w:t>
      </w:r>
      <w:r w:rsidR="00D2501C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3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рік фінансово-господарська діяльність підприємства характеризується такими показниками:</w:t>
      </w:r>
    </w:p>
    <w:p w14:paraId="33146DB8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</w:p>
    <w:p w14:paraId="31C1E9BC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Виконання фінансового плану</w:t>
      </w:r>
    </w:p>
    <w:p w14:paraId="002B2975" w14:textId="77777777" w:rsidR="00185938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Фінансовий план по </w:t>
      </w:r>
      <w:bookmarkStart w:id="0" w:name="_Hlk142571737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дохідній частині </w:t>
      </w:r>
      <w:bookmarkEnd w:id="0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перевиконано на </w:t>
      </w:r>
      <w:r w:rsidR="00185938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eastAsia="uk-UA" w:bidi="uk-UA"/>
          <w14:ligatures w14:val="none"/>
        </w:rPr>
        <w:t>18</w:t>
      </w:r>
      <w:r w:rsidR="00185938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,</w:t>
      </w:r>
      <w:r w:rsidR="00185938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eastAsia="uk-UA" w:bidi="uk-UA"/>
          <w14:ligatures w14:val="none"/>
        </w:rPr>
        <w:t>0</w:t>
      </w:r>
      <w:r w:rsidR="00185938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або на </w:t>
      </w:r>
      <w:r w:rsidR="00185938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7,6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%. </w:t>
      </w:r>
    </w:p>
    <w:p w14:paraId="0A3A364A" w14:textId="524633F8" w:rsidR="00185938" w:rsidRPr="003D637B" w:rsidRDefault="00185938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Понадпланові надходження склали:</w:t>
      </w:r>
    </w:p>
    <w:p w14:paraId="63591B92" w14:textId="348AA4AE" w:rsidR="00185938" w:rsidRPr="003D637B" w:rsidRDefault="00185938" w:rsidP="00185938">
      <w:pPr>
        <w:pStyle w:val="a7"/>
        <w:widowControl w:val="0"/>
        <w:numPr>
          <w:ilvl w:val="0"/>
          <w:numId w:val="1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lastRenderedPageBreak/>
        <w:t xml:space="preserve">Операційні доходи 14,5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;</w:t>
      </w:r>
    </w:p>
    <w:p w14:paraId="337E4D5E" w14:textId="7A793CBF" w:rsidR="00185938" w:rsidRPr="003D637B" w:rsidRDefault="00185938" w:rsidP="00185938">
      <w:pPr>
        <w:pStyle w:val="a7"/>
        <w:widowControl w:val="0"/>
        <w:numPr>
          <w:ilvl w:val="0"/>
          <w:numId w:val="1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Інші фінансові доходи 0,6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;</w:t>
      </w:r>
    </w:p>
    <w:p w14:paraId="1367080E" w14:textId="3E604CFB" w:rsidR="00185938" w:rsidRPr="003D637B" w:rsidRDefault="00185938" w:rsidP="00185938">
      <w:pPr>
        <w:pStyle w:val="a7"/>
        <w:widowControl w:val="0"/>
        <w:numPr>
          <w:ilvl w:val="0"/>
          <w:numId w:val="1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Інші доходи 3,2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</w:t>
      </w:r>
    </w:p>
    <w:p w14:paraId="78743462" w14:textId="27029F53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Загальні витрати підприємства за звітний період складають </w:t>
      </w:r>
      <w:r w:rsidR="00185938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257,9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, що на </w:t>
      </w:r>
      <w:r w:rsidR="00185938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28,5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або на </w:t>
      </w:r>
      <w:r w:rsidR="00185938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1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</w:t>
      </w:r>
      <w:r w:rsidR="00185938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,4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% більше ніж передбачалось фінансовим планом. </w:t>
      </w:r>
      <w:r w:rsidR="00893EA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Перевищення фактичних витрат над плановими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При цьому собівартість послуг з перевезення пасажирів транспортом становить на </w:t>
      </w:r>
      <w:r w:rsidR="00893EA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203,4 </w:t>
      </w:r>
      <w:proofErr w:type="spellStart"/>
      <w:r w:rsidR="00893EA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="00893EA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, що на 16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,</w:t>
      </w:r>
      <w:r w:rsidR="00893EA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9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r w:rsidR="00893EA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більше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, собівартості, яка передбачалась  фінансовим планом.</w:t>
      </w:r>
    </w:p>
    <w:p w14:paraId="1D0A8EF0" w14:textId="18632C44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Фінансовий результат діяльності підприємства за звітний період є </w:t>
      </w:r>
      <w:r w:rsidR="00893EA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негативним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. Отримано чистий </w:t>
      </w:r>
      <w:r w:rsidR="00893EA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збиток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в сумі </w:t>
      </w:r>
      <w:r w:rsidR="00893EA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,</w:t>
      </w:r>
      <w:r w:rsidR="00893EA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7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8</w:t>
      </w:r>
      <w:r w:rsidR="00893EA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3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при плані </w:t>
      </w:r>
      <w:r w:rsidR="00893EA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+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7,</w:t>
      </w:r>
      <w:r w:rsidR="00893EA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691 </w:t>
      </w:r>
      <w:proofErr w:type="spellStart"/>
      <w:r w:rsidR="00893EA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. </w:t>
      </w:r>
    </w:p>
    <w:p w14:paraId="391A4011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</w:p>
    <w:p w14:paraId="3F188C77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Показники фінансової діяльності</w:t>
      </w:r>
    </w:p>
    <w:p w14:paraId="2BD1853A" w14:textId="20CD1BDD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Загальні чисті доходи підприємства за 202</w:t>
      </w:r>
      <w:r w:rsidR="00683B4E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3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рік складають </w:t>
      </w:r>
      <w:r w:rsidR="00683B4E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255,1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млн.грн, що на 4</w:t>
      </w:r>
      <w:r w:rsidR="00683B4E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3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або на 2</w:t>
      </w:r>
      <w:r w:rsidR="00B940D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0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,</w:t>
      </w:r>
      <w:r w:rsidR="00B940D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3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% більше доходів 202</w:t>
      </w:r>
      <w:r w:rsidR="00B940D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року. Основним джерелом зростання доходів стало цільове фінансування компенсаційних виплат, пов’язаних з наданням послуг з перевезення пасажирів міським </w:t>
      </w:r>
      <w:r w:rsidR="00B940D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електричним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транспортом загального користування з бюджету Хмельницької територіальної громади. У порівнянні з минулим роком таке фінансування зросло на 24,</w:t>
      </w:r>
      <w:r w:rsidR="00B940D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676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та станов</w:t>
      </w:r>
      <w:r w:rsidR="00B940D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ить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1</w:t>
      </w:r>
      <w:r w:rsidR="00B940D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21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,</w:t>
      </w:r>
      <w:r w:rsidR="00B940D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8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млн.грн.</w:t>
      </w:r>
    </w:p>
    <w:p w14:paraId="1FF0CD4D" w14:textId="48C81719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Крім того, власна виручка за перевезення платних пасажирів міським транспортом зросла на </w:t>
      </w:r>
      <w:r w:rsidR="00B940D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13,3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або на </w:t>
      </w:r>
      <w:r w:rsidR="00610B1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57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% та становить </w:t>
      </w:r>
      <w:r w:rsidR="00B940D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51,8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, у тому числі:</w:t>
      </w:r>
    </w:p>
    <w:p w14:paraId="7400C488" w14:textId="100EF9ED" w:rsidR="00EB2247" w:rsidRPr="003D637B" w:rsidRDefault="00EB2247" w:rsidP="00B940DD">
      <w:pPr>
        <w:pStyle w:val="a7"/>
        <w:widowControl w:val="0"/>
        <w:numPr>
          <w:ilvl w:val="0"/>
          <w:numId w:val="1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виручка від перевезень тролейбусами зросла на </w:t>
      </w:r>
      <w:r w:rsidR="00B940D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5,8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 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або на </w:t>
      </w:r>
      <w:r w:rsidR="00B940D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17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,</w:t>
      </w:r>
      <w:r w:rsidR="00B940D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4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%, а </w:t>
      </w:r>
    </w:p>
    <w:p w14:paraId="5C809322" w14:textId="2F320B75" w:rsidR="00EB2247" w:rsidRPr="003D637B" w:rsidRDefault="00EB2247" w:rsidP="00B940DD">
      <w:pPr>
        <w:pStyle w:val="a7"/>
        <w:widowControl w:val="0"/>
        <w:numPr>
          <w:ilvl w:val="0"/>
          <w:numId w:val="1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виручка від перевезень автобусами зросла на </w:t>
      </w:r>
      <w:r w:rsidR="00610B1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7,5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або на </w:t>
      </w:r>
      <w:r w:rsidR="00610B1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40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%.</w:t>
      </w:r>
    </w:p>
    <w:p w14:paraId="4B9977C3" w14:textId="7210C433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Витрати підприємства також мали тенденцію до зростання. За 202</w:t>
      </w:r>
      <w:r w:rsidR="00610B1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3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рік загальні витрати зросли, у порівнянні з 202</w:t>
      </w:r>
      <w:r w:rsidR="00610B1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роком, на </w:t>
      </w:r>
      <w:r w:rsidR="00610B1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49,7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або на </w:t>
      </w:r>
      <w:r w:rsidR="00610B1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23,9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% та складають </w:t>
      </w:r>
      <w:r w:rsidR="00610B1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257,9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 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</w:t>
      </w:r>
    </w:p>
    <w:p w14:paraId="599449B5" w14:textId="63E1E17C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Збільшення витрат у порівнянні з 202</w:t>
      </w:r>
      <w:r w:rsidR="00610B1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роком обумовлено зростанням собівартості послуг з перевезення пасажирів міським транспортом на </w:t>
      </w:r>
      <w:r w:rsidR="00610B1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52,6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,  та зростанням інших операційних витрат на </w:t>
      </w:r>
      <w:r w:rsidR="00610B1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12,5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,</w:t>
      </w:r>
      <w:r w:rsidR="00610B1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(</w:t>
      </w:r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компенсація </w:t>
      </w:r>
      <w:proofErr w:type="spellStart"/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вират</w:t>
      </w:r>
      <w:proofErr w:type="spellEnd"/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на сплату відсотків по договору з ЄБРР- 5,079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proofErr w:type="spellStart"/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., 6,528 </w:t>
      </w:r>
      <w:proofErr w:type="spellStart"/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.- реконструкція контактної мережі, здача металобрухту при списанні тролейбусів 0,761 </w:t>
      </w:r>
      <w:proofErr w:type="spellStart"/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),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адміністративних витрат - на </w:t>
      </w:r>
      <w:r w:rsidR="00610B1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6,4 </w:t>
      </w:r>
      <w:proofErr w:type="spellStart"/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</w:t>
      </w:r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(5,079 </w:t>
      </w:r>
      <w:proofErr w:type="spellStart"/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. обслуговування кредиту, 1,5 </w:t>
      </w:r>
      <w:proofErr w:type="spellStart"/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збільшення фонду оплати праці)</w:t>
      </w:r>
    </w:p>
    <w:p w14:paraId="28DC84BD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/>
          <w:color w:val="000000"/>
          <w:kern w:val="0"/>
          <w:sz w:val="26"/>
          <w:szCs w:val="26"/>
          <w:lang w:val="uk-UA" w:eastAsia="uk-UA" w:bidi="uk-UA"/>
          <w14:ligatures w14:val="none"/>
        </w:rPr>
        <w:t>Основні причини зростання собівартості перевезень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:</w:t>
      </w:r>
    </w:p>
    <w:p w14:paraId="2EDD144A" w14:textId="14C350DA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- зростання вартості спожитої електроенергії на тролейбусний рух (так, якщо на початок 202</w:t>
      </w:r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3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року вартість електроенергії складала </w:t>
      </w:r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4,98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грн за 1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Квт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*год, то станом на грудень 202</w:t>
      </w:r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3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року вартість становила </w:t>
      </w:r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5,96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грн), що призвело до зростання витрат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lastRenderedPageBreak/>
        <w:t xml:space="preserve">на </w:t>
      </w:r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10,2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;</w:t>
      </w:r>
    </w:p>
    <w:p w14:paraId="696F2695" w14:textId="6115F4BF" w:rsidR="00622143" w:rsidRPr="003D637B" w:rsidRDefault="00622143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- збільшення фонду оплати праці та відповідно відрахувань по ЄСВ;</w:t>
      </w:r>
    </w:p>
    <w:p w14:paraId="6B1C2532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- зростання вартості запасних частин та інших послуг.</w:t>
      </w:r>
    </w:p>
    <w:p w14:paraId="31CBCD33" w14:textId="34E0F375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Протягом 202</w:t>
      </w:r>
      <w:r w:rsidR="0062214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3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року зростала заробітна плата працівників. Таке зростання пов’язане  з приведенням заробітної плати до соціальних нормативів, передбачених Галузевою угодою та Колективним договором ХКП «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Електротранс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». Основне збільшення зарплати торкнулось робітників депо та обслуговуючого персоналу, крім того збільшився фонд оплати праці за рахунок збільшення чисельності водіїв автобусів.</w:t>
      </w:r>
    </w:p>
    <w:p w14:paraId="7E642567" w14:textId="407D4D3D" w:rsidR="00EB2247" w:rsidRPr="003D637B" w:rsidRDefault="005A7E10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</w:t>
      </w:r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ростання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витрат</w:t>
      </w:r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над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дохода</w:t>
      </w:r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ми, у порівнянні з 202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</w:t>
      </w:r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роком, станови</w:t>
      </w:r>
      <w:r w:rsidR="009C003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ть</w:t>
      </w:r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15</w:t>
      </w:r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%.</w:t>
      </w:r>
    </w:p>
    <w:p w14:paraId="5E0D23B0" w14:textId="77777777" w:rsidR="008C766A" w:rsidRPr="003D637B" w:rsidRDefault="008C766A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</w:p>
    <w:p w14:paraId="5AD126DE" w14:textId="51CFF7A2" w:rsidR="008C766A" w:rsidRPr="003D637B" w:rsidRDefault="008C766A" w:rsidP="008C766A">
      <w:pPr>
        <w:widowControl w:val="0"/>
        <w:spacing w:after="120"/>
        <w:jc w:val="center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Аналіз  чисельності та середньомісячної заробітної плати штатних працівників по ХКП "</w:t>
      </w:r>
      <w:proofErr w:type="spellStart"/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Електротранс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"</w:t>
      </w:r>
    </w:p>
    <w:tbl>
      <w:tblPr>
        <w:tblW w:w="9300" w:type="dxa"/>
        <w:tblLook w:val="04A0" w:firstRow="1" w:lastRow="0" w:firstColumn="1" w:lastColumn="0" w:noHBand="0" w:noVBand="1"/>
      </w:tblPr>
      <w:tblGrid>
        <w:gridCol w:w="3964"/>
        <w:gridCol w:w="1276"/>
        <w:gridCol w:w="1329"/>
        <w:gridCol w:w="2731"/>
      </w:tblGrid>
      <w:tr w:rsidR="008C766A" w:rsidRPr="003D637B" w14:paraId="53F5E2D9" w14:textId="77777777" w:rsidTr="008C766A">
        <w:trPr>
          <w:trHeight w:val="315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BBEDC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Середньооблікова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чисельність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штатних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працівників</w:t>
            </w:r>
            <w:proofErr w:type="spellEnd"/>
          </w:p>
        </w:tc>
      </w:tr>
      <w:tr w:rsidR="008C766A" w:rsidRPr="003D637B" w14:paraId="271096C3" w14:textId="77777777" w:rsidTr="008C766A">
        <w:trPr>
          <w:trHeight w:val="66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C9260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Підрозділ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823CC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2286A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2023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56C83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збільшення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(+),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зменшення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 </w:t>
            </w:r>
            <w:proofErr w:type="gramStart"/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  (</w:t>
            </w:r>
            <w:proofErr w:type="gramEnd"/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-)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чисельності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працюючих</w:t>
            </w:r>
            <w:proofErr w:type="spellEnd"/>
          </w:p>
        </w:tc>
      </w:tr>
      <w:tr w:rsidR="008C766A" w:rsidRPr="003D637B" w14:paraId="1B249AA3" w14:textId="77777777" w:rsidTr="008C766A">
        <w:trPr>
          <w:trHeight w:val="63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48105" w14:textId="77777777" w:rsidR="008C766A" w:rsidRPr="003D637B" w:rsidRDefault="008C766A" w:rsidP="008C766A">
            <w:pPr>
              <w:spacing w:after="0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Адміністративний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персонал (з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керівником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66FEA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02857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31,5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8849E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-2,5</w:t>
            </w:r>
          </w:p>
        </w:tc>
      </w:tr>
      <w:tr w:rsidR="008C766A" w:rsidRPr="003D637B" w14:paraId="08785A48" w14:textId="77777777" w:rsidTr="008C766A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D0EA4" w14:textId="77777777" w:rsidR="008C766A" w:rsidRPr="003D637B" w:rsidRDefault="008C766A" w:rsidP="008C766A">
            <w:pPr>
              <w:spacing w:after="0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Виробничий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персонал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7A8F5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990C0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527,5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2F61C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9,5</w:t>
            </w:r>
          </w:p>
        </w:tc>
      </w:tr>
      <w:tr w:rsidR="008C766A" w:rsidRPr="003D637B" w14:paraId="0FD76B6F" w14:textId="77777777" w:rsidTr="008C766A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C21EC" w14:textId="77777777" w:rsidR="008C766A" w:rsidRPr="003D637B" w:rsidRDefault="008C766A" w:rsidP="008C766A">
            <w:pPr>
              <w:spacing w:after="0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Разом: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E2331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8DB13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559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964A9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7</w:t>
            </w:r>
          </w:p>
        </w:tc>
      </w:tr>
      <w:tr w:rsidR="008C766A" w:rsidRPr="003D637B" w14:paraId="1E2BF2CD" w14:textId="77777777" w:rsidTr="008C766A">
        <w:trPr>
          <w:trHeight w:val="315"/>
        </w:trPr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1321A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Середньомісячна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заробітна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плата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штатних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працівників</w:t>
            </w:r>
            <w:proofErr w:type="spellEnd"/>
          </w:p>
        </w:tc>
      </w:tr>
      <w:tr w:rsidR="008C766A" w:rsidRPr="003D637B" w14:paraId="0EADBAB5" w14:textId="77777777" w:rsidTr="008C766A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E76C5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Підрозділ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F244F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09BC8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2023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4FA28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Темп росту, %</w:t>
            </w:r>
          </w:p>
        </w:tc>
      </w:tr>
      <w:tr w:rsidR="008C766A" w:rsidRPr="003D637B" w14:paraId="0FED2C61" w14:textId="77777777" w:rsidTr="008C766A">
        <w:trPr>
          <w:trHeight w:val="6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073FE" w14:textId="77777777" w:rsidR="008C766A" w:rsidRPr="003D637B" w:rsidRDefault="008C766A" w:rsidP="008C766A">
            <w:pPr>
              <w:spacing w:after="0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Середньомісячна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заробітна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плата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всіх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штатних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працівників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EA0A0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513A8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17128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005DA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26,9</w:t>
            </w:r>
          </w:p>
        </w:tc>
      </w:tr>
      <w:tr w:rsidR="008C766A" w:rsidRPr="003D637B" w14:paraId="6C47E75A" w14:textId="77777777" w:rsidTr="008C766A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C30D9" w14:textId="77777777" w:rsidR="008C766A" w:rsidRPr="003D637B" w:rsidRDefault="008C766A" w:rsidP="008C766A">
            <w:pPr>
              <w:spacing w:after="0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Керівник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AC3BB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28283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3C10A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39790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169E2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40,7</w:t>
            </w:r>
          </w:p>
        </w:tc>
      </w:tr>
      <w:tr w:rsidR="008C766A" w:rsidRPr="003D637B" w14:paraId="11C52052" w14:textId="77777777" w:rsidTr="008C766A">
        <w:trPr>
          <w:trHeight w:val="63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36940" w14:textId="77777777" w:rsidR="008C766A" w:rsidRPr="003D637B" w:rsidRDefault="008C766A" w:rsidP="008C766A">
            <w:pPr>
              <w:spacing w:after="0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Адміністративний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персонал без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керівника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971F9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15280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6405D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21731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000A2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42,2</w:t>
            </w:r>
          </w:p>
        </w:tc>
      </w:tr>
      <w:tr w:rsidR="008C766A" w:rsidRPr="003D637B" w14:paraId="542BE656" w14:textId="77777777" w:rsidTr="008C766A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5989E" w14:textId="77777777" w:rsidR="008C766A" w:rsidRPr="003D637B" w:rsidRDefault="008C766A" w:rsidP="008C766A">
            <w:pPr>
              <w:spacing w:after="0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Виробничий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персонал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CD366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13354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6960B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16796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7015B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25,8</w:t>
            </w:r>
          </w:p>
        </w:tc>
      </w:tr>
      <w:tr w:rsidR="008C766A" w:rsidRPr="003D637B" w14:paraId="709CF967" w14:textId="77777777" w:rsidTr="008C766A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048C2" w14:textId="77777777" w:rsidR="008C766A" w:rsidRPr="003D637B" w:rsidRDefault="008C766A" w:rsidP="008C766A">
            <w:pPr>
              <w:spacing w:after="0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Водії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тролейбусів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41A4F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17515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22EC0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23070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864BA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31,7</w:t>
            </w:r>
          </w:p>
        </w:tc>
      </w:tr>
      <w:tr w:rsidR="008C766A" w:rsidRPr="003D637B" w14:paraId="3B9D0365" w14:textId="77777777" w:rsidTr="008C766A">
        <w:trPr>
          <w:trHeight w:val="31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8C958" w14:textId="77777777" w:rsidR="008C766A" w:rsidRPr="003D637B" w:rsidRDefault="008C766A" w:rsidP="008C766A">
            <w:pPr>
              <w:spacing w:after="0"/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</w:pP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Водії</w:t>
            </w:r>
            <w:proofErr w:type="spellEnd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3D637B">
              <w:rPr>
                <w:rFonts w:asciiTheme="majorHAnsi" w:eastAsia="Times New Roman" w:hAnsiTheme="majorHAnsi" w:cstheme="majorHAnsi"/>
                <w:kern w:val="0"/>
                <w:sz w:val="26"/>
                <w:szCs w:val="26"/>
                <w:lang w:eastAsia="ru-RU"/>
                <w14:ligatures w14:val="none"/>
              </w:rPr>
              <w:t>автобусів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2895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16919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EC062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21043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74AC9" w14:textId="77777777" w:rsidR="008C766A" w:rsidRPr="003D637B" w:rsidRDefault="008C766A" w:rsidP="008C766A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</w:pPr>
            <w:r w:rsidRPr="003D637B">
              <w:rPr>
                <w:rFonts w:asciiTheme="majorHAnsi" w:eastAsia="Times New Roman" w:hAnsiTheme="majorHAnsi" w:cstheme="majorHAnsi"/>
                <w:color w:val="000000"/>
                <w:kern w:val="0"/>
                <w:sz w:val="26"/>
                <w:szCs w:val="26"/>
                <w:lang w:eastAsia="ru-RU"/>
                <w14:ligatures w14:val="none"/>
              </w:rPr>
              <w:t>24,4</w:t>
            </w:r>
          </w:p>
        </w:tc>
      </w:tr>
    </w:tbl>
    <w:p w14:paraId="680D8C8A" w14:textId="77777777" w:rsidR="008C766A" w:rsidRPr="003D637B" w:rsidRDefault="008C766A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</w:p>
    <w:p w14:paraId="74B3FC32" w14:textId="370F7BCF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Дебіторська заборгованість</w:t>
      </w:r>
    </w:p>
    <w:p w14:paraId="37DEF4B7" w14:textId="733E1A75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Загальний приріст дебіторської заборгованості, у порівнянні з 202</w:t>
      </w:r>
      <w:r w:rsidR="00E5572A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роком, становить </w:t>
      </w:r>
      <w:r w:rsidR="00E5572A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90,1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тис.грн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або </w:t>
      </w:r>
      <w:r w:rsidR="00E5572A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25,8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%.</w:t>
      </w:r>
    </w:p>
    <w:p w14:paraId="7F5ECF57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Зростання дебіторської заборгованості відбулось за рахунок збільшення виручки від оплати проїзду, яка надходить в наступний день та збільшення заборгованості фонду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lastRenderedPageBreak/>
        <w:t>соціального страхування по несплачених лікарняних.</w:t>
      </w:r>
    </w:p>
    <w:p w14:paraId="73454C04" w14:textId="1C32AD82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Вся дебіторська заборгованість є поточною та погашена в січні 202</w:t>
      </w:r>
      <w:r w:rsidR="00E5572A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4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року.</w:t>
      </w:r>
    </w:p>
    <w:p w14:paraId="448228C5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Питома вага дебіторської заборгованості в оборотних активах підприємства складає лише 2%.</w:t>
      </w:r>
    </w:p>
    <w:p w14:paraId="5062D605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</w:p>
    <w:p w14:paraId="7AB97074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Кредиторська заборгованість</w:t>
      </w:r>
    </w:p>
    <w:p w14:paraId="371C0EE6" w14:textId="48A66E24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На фінансовий стан підприємства, що характеризувався, як важкий, на </w:t>
      </w:r>
      <w:r w:rsidR="0028500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кінець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202</w:t>
      </w:r>
      <w:r w:rsidR="00E5572A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3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року впливав стан кредиторської заборгованості.</w:t>
      </w:r>
    </w:p>
    <w:p w14:paraId="4A7451AA" w14:textId="0FCC97EC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Загальна заборгованість підприємства на </w:t>
      </w:r>
      <w:r w:rsidR="0028500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кінець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звітного періоду складала </w:t>
      </w:r>
      <w:r w:rsidR="0028500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33,660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</w:t>
      </w:r>
    </w:p>
    <w:p w14:paraId="6B6DC4DE" w14:textId="3DDC422C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Заборгованість перед постачальниками товарів і послуг на початок звітного року складала </w:t>
      </w:r>
      <w:r w:rsidR="0028500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12,066 </w:t>
      </w:r>
      <w:proofErr w:type="spellStart"/>
      <w:r w:rsidR="0028500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або </w:t>
      </w:r>
      <w:r w:rsidR="0028500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35,8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% від загальної кредиторської заборгованості, а борг за спожиту електроенергію становив </w:t>
      </w:r>
      <w:r w:rsidR="0028500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6,3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млн.грн. </w:t>
      </w:r>
    </w:p>
    <w:p w14:paraId="6D2657E1" w14:textId="1DC26F76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Коефіцієнт покриття боргових зобов’язань складав 0,</w:t>
      </w:r>
      <w:r w:rsidR="0028500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28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при критичному значенні 1,0. </w:t>
      </w:r>
    </w:p>
    <w:p w14:paraId="1D25587B" w14:textId="33DE3089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Із загальної кредиторської заборгованості на кінець звітного періоду 1</w:t>
      </w:r>
      <w:r w:rsidR="0028500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3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,5млн.грн становить борг за надану поворотну допомогу із строком погашення до кінця 2023 року.</w:t>
      </w:r>
    </w:p>
    <w:p w14:paraId="31568174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</w:p>
    <w:p w14:paraId="5EB11C0D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Обсяг доходів від додаткових робіт і послуг</w:t>
      </w:r>
    </w:p>
    <w:p w14:paraId="4B8E018D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Підприємство, крім основної діяльності надає значний обсяг додаткових послуг, а саме: послуги з нерегулярних перевезень, послуги лабораторії енергогосподарства, розміщення реклами на транспортних засобах та в салонах ТЗ, оренда, навчання на курсах підготовки водіїв тролейбуса.</w:t>
      </w:r>
    </w:p>
    <w:p w14:paraId="21DE6E78" w14:textId="30AACB79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У порівнянні з 202</w:t>
      </w:r>
      <w:r w:rsidR="0028500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роком обсяг таких послуг зріс на </w:t>
      </w:r>
      <w:r w:rsidR="00B8441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eastAsia="uk-UA" w:bidi="uk-UA"/>
          <w14:ligatures w14:val="none"/>
        </w:rPr>
        <w:t>9,6</w:t>
      </w:r>
      <w:r w:rsidR="0028500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proofErr w:type="spellStart"/>
      <w:r w:rsidR="0028500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і склав </w:t>
      </w:r>
      <w:r w:rsidR="00B8441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eastAsia="uk-UA" w:bidi="uk-UA"/>
          <w14:ligatures w14:val="none"/>
        </w:rPr>
        <w:t xml:space="preserve">15,4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. Питома вага інших послуг в загальних доходах підприємства становить </w:t>
      </w:r>
      <w:r w:rsidR="00B8441F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eastAsia="uk-UA" w:bidi="uk-UA"/>
          <w14:ligatures w14:val="none"/>
        </w:rPr>
        <w:t>6,0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%.</w:t>
      </w:r>
    </w:p>
    <w:p w14:paraId="6D40A8D0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</w:p>
    <w:p w14:paraId="64992EBE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Інвестиції в оновлення виробничих фондів</w:t>
      </w:r>
    </w:p>
    <w:p w14:paraId="63A3208A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У звітному періоді значна сума коштів підприємства та коштів, передбачених бюджетом розвитку міста, була направлена на оновлення рухомого складу пасажирського транспорту.</w:t>
      </w:r>
    </w:p>
    <w:p w14:paraId="046F3878" w14:textId="77777777" w:rsidR="00F257D6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За рахунок коштів міського бюджету було придбано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:</w:t>
      </w:r>
    </w:p>
    <w:p w14:paraId="04242F18" w14:textId="4068DFDD" w:rsidR="00EB2247" w:rsidRPr="003D637B" w:rsidRDefault="00F257D6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-</w:t>
      </w:r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10</w:t>
      </w:r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 пасажирських автобусів АТАМАН на загальну суму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30</w:t>
      </w:r>
      <w:r w:rsidR="003D637B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eastAsia="uk-UA" w:bidi="uk-UA"/>
          <w14:ligatures w14:val="none"/>
        </w:rPr>
        <w:t xml:space="preserve">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999 </w:t>
      </w:r>
      <w:proofErr w:type="spellStart"/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</w:p>
    <w:p w14:paraId="784BFC74" w14:textId="7BB61CAF" w:rsidR="00F257D6" w:rsidRPr="003D637B" w:rsidRDefault="00F257D6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- автопідйомник для ремонту та обслуговування контактних мереж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en-US" w:eastAsia="uk-UA" w:bidi="uk-UA"/>
          <w14:ligatures w14:val="none"/>
        </w:rPr>
        <w:t>IVECO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– 5,799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</w:p>
    <w:p w14:paraId="41EA67AA" w14:textId="55050EC5" w:rsidR="00F257D6" w:rsidRPr="003D637B" w:rsidRDefault="00F257D6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lastRenderedPageBreak/>
        <w:t xml:space="preserve">- диспетчерський і контрольні пункти «Граніт-мікро» для тягових підстанцій – 2,258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</w:p>
    <w:p w14:paraId="7B2F60D7" w14:textId="62039BBF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За рахунок коштів підприємства було придбано 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  пасажирських 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тролейбуса 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en-US" w:eastAsia="uk-UA" w:bidi="uk-UA"/>
          <w14:ligatures w14:val="none"/>
        </w:rPr>
        <w:t>SKODA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24 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en-US" w:eastAsia="uk-UA" w:bidi="uk-UA"/>
          <w14:ligatures w14:val="none"/>
        </w:rPr>
        <w:t>Tr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та 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en-US" w:eastAsia="uk-UA" w:bidi="uk-UA"/>
          <w14:ligatures w14:val="none"/>
        </w:rPr>
        <w:t>SKODA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25 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en-US" w:eastAsia="uk-UA" w:bidi="uk-UA"/>
          <w14:ligatures w14:val="none"/>
        </w:rPr>
        <w:t>Tr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 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на загальну суму 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2,217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</w:t>
      </w:r>
      <w:r w:rsidR="00E60C4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Інші основні засоби необхідні для безперебійної роботи підприємства на загальну суму 847,9 </w:t>
      </w:r>
      <w:proofErr w:type="spellStart"/>
      <w:r w:rsidR="00E60C4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тис.гнрн</w:t>
      </w:r>
      <w:proofErr w:type="spellEnd"/>
      <w:r w:rsidR="00E60C4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</w:t>
      </w:r>
    </w:p>
    <w:p w14:paraId="63A30FFD" w14:textId="3EFC1DE0" w:rsidR="00EB2247" w:rsidRPr="003D637B" w:rsidRDefault="00806C58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</w:t>
      </w:r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авершено відновлювальний (капітальний) ремонт</w:t>
      </w:r>
      <w:r w:rsidR="009C003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тролейбуса </w:t>
      </w:r>
      <w:r w:rsidR="00E60C4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ЗІУ №234 на суму</w:t>
      </w:r>
      <w:r w:rsidR="009C003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1 031,7 </w:t>
      </w:r>
      <w:proofErr w:type="spellStart"/>
      <w:r w:rsidR="009C003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тис.грн</w:t>
      </w:r>
      <w:proofErr w:type="spellEnd"/>
      <w:r w:rsidR="00E60C4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r w:rsidR="009C003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(який був розпочатий ще у 2022 році)</w:t>
      </w:r>
      <w:r w:rsidR="00E60C4D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, </w:t>
      </w:r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ЗІУ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№002</w:t>
      </w:r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на суму 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780</w:t>
      </w:r>
      <w:r w:rsidR="00A61814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proofErr w:type="spellStart"/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тис.грн</w:t>
      </w:r>
      <w:proofErr w:type="spellEnd"/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.,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та №006 на суму 1</w:t>
      </w:r>
      <w:r w:rsidR="009C003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094 </w:t>
      </w:r>
      <w:proofErr w:type="spellStart"/>
      <w:r w:rsidR="009C0033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тис</w:t>
      </w:r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.грн</w:t>
      </w:r>
      <w:proofErr w:type="spellEnd"/>
      <w:r w:rsidR="00F257D6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Окрім того, був проведений середній ремонт тролейбусам №№ 198, 210, 240, 245, 249, 254, 287, ТГ-6 за загальну суму 1</w:t>
      </w:r>
      <w:r w:rsidR="00A61814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034,4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тис.грн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</w:t>
      </w:r>
    </w:p>
    <w:p w14:paraId="573E0C09" w14:textId="2BA7708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</w:p>
    <w:p w14:paraId="0260A6A4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Виконання заходів стратегічного плану розвитку</w:t>
      </w:r>
    </w:p>
    <w:p w14:paraId="5D295389" w14:textId="77777777" w:rsidR="002D3D00" w:rsidRPr="003D637B" w:rsidRDefault="00EB2247" w:rsidP="002D3D00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Стратегічним планом розвитку підприємства на 202</w:t>
      </w:r>
      <w:r w:rsidR="0086749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3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рік було встановлено </w:t>
      </w:r>
      <w:r w:rsidR="002D3D00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наступні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стратегічн</w:t>
      </w:r>
      <w:r w:rsidR="002D3D00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і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ціл</w:t>
      </w:r>
      <w:r w:rsidR="002D3D00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і:</w:t>
      </w:r>
    </w:p>
    <w:p w14:paraId="210E76BF" w14:textId="5AC33F85" w:rsidR="002D3D00" w:rsidRPr="003D637B" w:rsidRDefault="002D3D00" w:rsidP="002D3D00">
      <w:pPr>
        <w:pStyle w:val="a7"/>
        <w:widowControl w:val="0"/>
        <w:numPr>
          <w:ilvl w:val="0"/>
          <w:numId w:val="1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Обстеження пасажиропотоку на автобусних приміських маршрутах</w:t>
      </w:r>
      <w:r w:rsidR="00A61814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</w:t>
      </w:r>
    </w:p>
    <w:p w14:paraId="09A1A718" w14:textId="61AACE7F" w:rsidR="00EB2247" w:rsidRPr="003D637B" w:rsidRDefault="002D3D00" w:rsidP="002D3D00">
      <w:pPr>
        <w:pStyle w:val="a7"/>
        <w:widowControl w:val="0"/>
        <w:spacing w:after="120"/>
        <w:ind w:left="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Завдяки встановленню на автобусах ”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Атаман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” системи, що дають можливість здійснювати підрахунок пасажиропотоку</w:t>
      </w:r>
      <w:r w:rsidR="00A61814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,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r w:rsidR="00A61814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у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кладений договір про надання послуг з ТОВ ”ДЖЕМІКЛ”.</w:t>
      </w:r>
      <w:r w:rsidR="00EB224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В результаті обстеження приміського маршруту №15 ”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Староміська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—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Шаровечка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2” зміна вартості проїзду з 12 до 15 грн. 13.03.2023 р. В результаті ефективність маршруту (виторг на км пробігу) зріс на 5% з 12,15 до 12,79 грн/км.</w:t>
      </w:r>
    </w:p>
    <w:p w14:paraId="3EF527E1" w14:textId="567E5C6B" w:rsidR="002D3D00" w:rsidRPr="003D637B" w:rsidRDefault="002D3D00" w:rsidP="002D3D00">
      <w:pPr>
        <w:pStyle w:val="a7"/>
        <w:widowControl w:val="0"/>
        <w:numPr>
          <w:ilvl w:val="0"/>
          <w:numId w:val="1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Збільшення великогабаритного автотранспорту, пристосованого для перевезення людей з обмеженими можливостями. </w:t>
      </w:r>
    </w:p>
    <w:p w14:paraId="59B5AC3D" w14:textId="77777777" w:rsidR="000E4A52" w:rsidRPr="003D637B" w:rsidRDefault="002D3D00" w:rsidP="002D3D00">
      <w:pPr>
        <w:pStyle w:val="a7"/>
        <w:widowControl w:val="0"/>
        <w:spacing w:after="120"/>
        <w:ind w:hanging="7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Придбано 10 нових автобусів середньої місткості,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низькопольних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Атаман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АО92Н6</w:t>
      </w:r>
      <w:r w:rsidR="000E4A52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 Загальна кількість</w:t>
      </w:r>
    </w:p>
    <w:p w14:paraId="18BB669B" w14:textId="179484F0" w:rsidR="002D3D00" w:rsidRPr="003D637B" w:rsidRDefault="000E4A52" w:rsidP="000E4A52">
      <w:pPr>
        <w:pStyle w:val="a7"/>
        <w:widowControl w:val="0"/>
        <w:spacing w:after="120"/>
        <w:ind w:left="0" w:hanging="11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низькопольних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автобусів складає 28 од., в т</w:t>
      </w:r>
      <w:r w:rsidR="00A61814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ому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ч</w:t>
      </w:r>
      <w:r w:rsidR="00A61814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ислі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великогабаритних -10 од.,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середньогабаритних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— 18од.</w:t>
      </w:r>
    </w:p>
    <w:p w14:paraId="1571399B" w14:textId="04292CD8" w:rsidR="000E4A52" w:rsidRPr="003D637B" w:rsidRDefault="000E4A52" w:rsidP="000E4A52">
      <w:pPr>
        <w:pStyle w:val="a7"/>
        <w:widowControl w:val="0"/>
        <w:numPr>
          <w:ilvl w:val="0"/>
          <w:numId w:val="1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Придбання 20 одиниць  електротранспорту, у т</w:t>
      </w:r>
      <w:r w:rsidR="00806C58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ому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ч</w:t>
      </w:r>
      <w:r w:rsidR="00806C58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ислі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із запасом автономного ходу.</w:t>
      </w:r>
    </w:p>
    <w:p w14:paraId="6349872C" w14:textId="55EEB9D1" w:rsidR="000E4A52" w:rsidRPr="003D637B" w:rsidRDefault="000E4A52" w:rsidP="000E4A52">
      <w:pPr>
        <w:pStyle w:val="a7"/>
        <w:widowControl w:val="0"/>
        <w:spacing w:after="120"/>
        <w:ind w:left="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Придбано 2 тролейбуси бувших у використанні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Skoda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24tr,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Skoda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25tr. Загальна кількість низь-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копольних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тролейбусів складає 37 од., в т</w:t>
      </w:r>
      <w:r w:rsidR="00A61814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ому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ч</w:t>
      </w:r>
      <w:r w:rsidR="00A61814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ислі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r w:rsidR="00A61814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і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 запасом автономного ходу - 5 од., двосекційних —1 од.</w:t>
      </w:r>
    </w:p>
    <w:p w14:paraId="649FB9DB" w14:textId="6805CC94" w:rsidR="000E4A52" w:rsidRPr="003D637B" w:rsidRDefault="000E4A52" w:rsidP="000E4A52">
      <w:pPr>
        <w:pStyle w:val="a7"/>
        <w:widowControl w:val="0"/>
        <w:numPr>
          <w:ilvl w:val="0"/>
          <w:numId w:val="1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Придбання автомобіля для виконання робіт з обслуговування контактної мережі.</w:t>
      </w:r>
    </w:p>
    <w:p w14:paraId="525E5F7D" w14:textId="5ABC0A4C" w:rsidR="000E4A52" w:rsidRPr="003D637B" w:rsidRDefault="000E4A52" w:rsidP="000E4A52">
      <w:pPr>
        <w:pStyle w:val="a7"/>
        <w:widowControl w:val="0"/>
        <w:spacing w:after="120"/>
        <w:ind w:left="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Придбаний автопідйомник для ремонту та обслуговування контактних мереж СКС-IEML 150 АП на базі шасі IVECO EUROCARGO ML 150. Зарахований в експлуатацію з 28.11.2023 р. В результаті: оновлення спецтранспорту та швидке усунення поломок на контактній мережі.</w:t>
      </w:r>
    </w:p>
    <w:p w14:paraId="12DAB222" w14:textId="7E63BBCF" w:rsidR="000E4A52" w:rsidRPr="003D637B" w:rsidRDefault="000E4A52" w:rsidP="000E4A52">
      <w:pPr>
        <w:pStyle w:val="a7"/>
        <w:widowControl w:val="0"/>
        <w:numPr>
          <w:ilvl w:val="0"/>
          <w:numId w:val="1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Проведення відновлювального ремонту 5 тролейбусів</w:t>
      </w:r>
    </w:p>
    <w:p w14:paraId="622CC815" w14:textId="2A725751" w:rsidR="000E4A52" w:rsidRPr="003D637B" w:rsidRDefault="000E4A52" w:rsidP="000E4A52">
      <w:pPr>
        <w:pStyle w:val="a7"/>
        <w:widowControl w:val="0"/>
        <w:spacing w:after="120"/>
        <w:ind w:left="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Проведені відновлювальні ремонти 2 тролейбусів ЗіУ-682Г №002 та №006</w:t>
      </w:r>
      <w:r w:rsidR="00A61814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, та </w:t>
      </w:r>
      <w:r w:rsidR="00A61814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lastRenderedPageBreak/>
        <w:t>завершений відновлювальний ремонт тролейбуса № 234.</w:t>
      </w:r>
      <w:r w:rsidRPr="003D637B">
        <w:rPr>
          <w:sz w:val="26"/>
          <w:szCs w:val="26"/>
          <w:lang w:val="uk-UA"/>
        </w:rPr>
        <w:t xml:space="preserve">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В результаті модернізації 3 тролейбусів марки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ЗіУ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продовжений строк експлуатації.</w:t>
      </w:r>
    </w:p>
    <w:p w14:paraId="4F73CC71" w14:textId="77777777" w:rsidR="000E4A52" w:rsidRPr="003D637B" w:rsidRDefault="000E4A52" w:rsidP="000E4A52">
      <w:pPr>
        <w:pStyle w:val="a7"/>
        <w:widowControl w:val="0"/>
        <w:numPr>
          <w:ilvl w:val="0"/>
          <w:numId w:val="1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Придбання та встановлення комплексу телемеханіки для управління  тяговими підстанціями.</w:t>
      </w:r>
    </w:p>
    <w:p w14:paraId="5F9583C8" w14:textId="40F0E28A" w:rsidR="000E4A52" w:rsidRPr="003D637B" w:rsidRDefault="000E4A52" w:rsidP="000E4A52">
      <w:pPr>
        <w:pStyle w:val="a7"/>
        <w:widowControl w:val="0"/>
        <w:spacing w:after="120"/>
        <w:ind w:left="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Придбані контрольні пункти комплексу телемеханіки тягових підстанцій та диспетчерський пункт управління. Як результат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модернізаціі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- управління тяговими підстанціями та швидке усунення поломок на контактній мережі.</w:t>
      </w:r>
    </w:p>
    <w:p w14:paraId="20818DD2" w14:textId="77777777" w:rsidR="00B8441F" w:rsidRPr="003D637B" w:rsidRDefault="00B8441F" w:rsidP="000E4A52">
      <w:pPr>
        <w:pStyle w:val="a7"/>
        <w:widowControl w:val="0"/>
        <w:spacing w:after="120"/>
        <w:ind w:left="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</w:p>
    <w:p w14:paraId="36299D6A" w14:textId="08DD499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Енергозберігаючі заходи</w:t>
      </w:r>
    </w:p>
    <w:p w14:paraId="7588C678" w14:textId="477B16E4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У звітному періоді підприємство </w:t>
      </w:r>
      <w:r w:rsidR="0086749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збільшило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використання енергоносіїв у натуральних показниках. </w:t>
      </w:r>
    </w:p>
    <w:p w14:paraId="1B32D711" w14:textId="671ABDB3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Споживання електроенергії з</w:t>
      </w:r>
      <w:r w:rsidR="0086749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більшилось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у порівнянні з минулим роком на </w:t>
      </w:r>
      <w:r w:rsidR="0086749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300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тис.кВт*год, </w:t>
      </w:r>
      <w:r w:rsidR="0086749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що на 3,7 % більше попереднього року. Витрати на розподіл електричної енергії зросли на 10453 </w:t>
      </w:r>
      <w:proofErr w:type="spellStart"/>
      <w:r w:rsidR="0086749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тис.грн</w:t>
      </w:r>
      <w:proofErr w:type="spellEnd"/>
      <w:r w:rsidR="00867497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, що на 30,8% більше попереднього року. Використання електроенергії на 1 кілометр пробігу зменшилось на 1,9%.</w:t>
      </w:r>
    </w:p>
    <w:p w14:paraId="08716931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Для автобусів збільшилось споживання дизельного палива у зв’язку зі збільшенням випуску на маршрути.</w:t>
      </w:r>
    </w:p>
    <w:p w14:paraId="1219C6A4" w14:textId="5FC8F3C8" w:rsidR="00867497" w:rsidRPr="003D637B" w:rsidRDefault="0086749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Загальні витрати на паливно-мастильні матеріали у 2023 році склали 12,2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., що на 5,6 </w:t>
      </w:r>
      <w:proofErr w:type="spellStart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млн.грн</w:t>
      </w:r>
      <w:proofErr w:type="spellEnd"/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(або на 85%) більше витрат попереднього року</w:t>
      </w:r>
      <w:r w:rsidR="00D2501C"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.</w:t>
      </w:r>
    </w:p>
    <w:p w14:paraId="6B64CB74" w14:textId="77777777" w:rsidR="00B8441F" w:rsidRPr="003D637B" w:rsidRDefault="00B8441F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</w:p>
    <w:p w14:paraId="01DD3141" w14:textId="252A8609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</w:t>
      </w: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План дій підприємства на 202</w:t>
      </w:r>
      <w:r w:rsidR="00D2501C"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4</w:t>
      </w: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рік</w:t>
      </w:r>
    </w:p>
    <w:p w14:paraId="1DB743C9" w14:textId="77777777" w:rsidR="00EB2247" w:rsidRPr="003D637B" w:rsidRDefault="00EB2247" w:rsidP="00EB2247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В поточному році основні зусилля підприємства спрямовані на впровадження Проекту модернізації громадського транспорту у м. Хмельницькому із залученням коштів ЄБРР.</w:t>
      </w:r>
    </w:p>
    <w:p w14:paraId="24A16D89" w14:textId="77777777" w:rsidR="00B8441F" w:rsidRPr="003D637B" w:rsidRDefault="00B8441F" w:rsidP="00DB7293">
      <w:pPr>
        <w:widowControl w:val="0"/>
        <w:spacing w:after="120"/>
        <w:jc w:val="both"/>
        <w:rPr>
          <w:rFonts w:ascii="Calibri Light" w:eastAsia="Times New Roman" w:hAnsi="Calibri Light" w:cs="Calibri Light"/>
          <w:b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</w:p>
    <w:p w14:paraId="5FCBD21F" w14:textId="14DE0639" w:rsidR="00DB7293" w:rsidRPr="003D637B" w:rsidRDefault="00DB7293" w:rsidP="00DB7293">
      <w:pPr>
        <w:widowControl w:val="0"/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b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Проблемні питання, які потрібно вирішувати</w:t>
      </w:r>
      <w:r w:rsidR="00A25963" w:rsidRPr="003D637B">
        <w:rPr>
          <w:rFonts w:ascii="Calibri Light" w:eastAsia="Times New Roman" w:hAnsi="Calibri Light" w:cs="Calibri Light"/>
          <w:b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 у 2024 році</w:t>
      </w:r>
    </w:p>
    <w:p w14:paraId="79BA8BED" w14:textId="77777777" w:rsidR="00DB7293" w:rsidRPr="003D637B" w:rsidRDefault="00DB7293" w:rsidP="00DB7293">
      <w:pPr>
        <w:widowControl w:val="0"/>
        <w:numPr>
          <w:ilvl w:val="0"/>
          <w:numId w:val="4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рішенням сесії міської ради 24 тролейбуси списані, але не утилізовані, у зв’язку з воєнним станом;</w:t>
      </w:r>
    </w:p>
    <w:p w14:paraId="0496FAE9" w14:textId="77777777" w:rsidR="00DB7293" w:rsidRPr="003D637B" w:rsidRDefault="00DB7293" w:rsidP="00DB7293">
      <w:pPr>
        <w:widowControl w:val="0"/>
        <w:numPr>
          <w:ilvl w:val="0"/>
          <w:numId w:val="4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збільшення випуску тролейбусів та дотримання регулярності руху на маршрутах;</w:t>
      </w:r>
    </w:p>
    <w:p w14:paraId="2F248135" w14:textId="77777777" w:rsidR="00DB7293" w:rsidRPr="003D637B" w:rsidRDefault="00DB7293" w:rsidP="00DB7293">
      <w:pPr>
        <w:widowControl w:val="0"/>
        <w:numPr>
          <w:ilvl w:val="0"/>
          <w:numId w:val="4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дотримання високого рівня культури обслуговування пасажирів та санітарного стану тролейбусів;</w:t>
      </w:r>
    </w:p>
    <w:p w14:paraId="267D8973" w14:textId="77777777" w:rsidR="00DB7293" w:rsidRPr="003D637B" w:rsidRDefault="00DB7293" w:rsidP="00DB7293">
      <w:pPr>
        <w:widowControl w:val="0"/>
        <w:numPr>
          <w:ilvl w:val="0"/>
          <w:numId w:val="4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виплата заробітної плати відповідно вимог галузевої угоди з дотриманням;</w:t>
      </w:r>
    </w:p>
    <w:p w14:paraId="390EC749" w14:textId="77777777" w:rsidR="00DB7293" w:rsidRPr="003D637B" w:rsidRDefault="00DB7293" w:rsidP="00DB7293">
      <w:pPr>
        <w:widowControl w:val="0"/>
        <w:numPr>
          <w:ilvl w:val="0"/>
          <w:numId w:val="4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значна збитковість роботи автобусного парку (20,4 млн грн);</w:t>
      </w:r>
    </w:p>
    <w:p w14:paraId="07001271" w14:textId="77777777" w:rsidR="00DB7293" w:rsidRPr="003D637B" w:rsidRDefault="00DB7293" w:rsidP="00DB7293">
      <w:pPr>
        <w:widowControl w:val="0"/>
        <w:numPr>
          <w:ilvl w:val="0"/>
          <w:numId w:val="4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 xml:space="preserve">для виконання виробничої програми недостатня кількість водіїв тролейбусів та </w:t>
      </w: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lastRenderedPageBreak/>
        <w:t>автобусів;</w:t>
      </w:r>
    </w:p>
    <w:p w14:paraId="28D02124" w14:textId="77777777" w:rsidR="00DB7293" w:rsidRPr="003D637B" w:rsidRDefault="00DB7293" w:rsidP="00DB7293">
      <w:pPr>
        <w:widowControl w:val="0"/>
        <w:numPr>
          <w:ilvl w:val="0"/>
          <w:numId w:val="4"/>
        </w:numPr>
        <w:spacing w:after="120"/>
        <w:jc w:val="both"/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eastAsia="uk-UA" w:bidi="uk-UA"/>
          <w14:ligatures w14:val="none"/>
        </w:rPr>
      </w:pPr>
      <w:r w:rsidRPr="003D637B">
        <w:rPr>
          <w:rFonts w:ascii="Calibri Light" w:eastAsia="Times New Roman" w:hAnsi="Calibri Light" w:cs="Calibri Light"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модернізація та реконструкція депо, асфальтування території.</w:t>
      </w:r>
    </w:p>
    <w:p w14:paraId="405AE48D" w14:textId="77777777" w:rsidR="00E84457" w:rsidRPr="003D637B" w:rsidRDefault="00E84457" w:rsidP="00EB2247">
      <w:pPr>
        <w:widowControl w:val="0"/>
        <w:spacing w:after="0" w:line="360" w:lineRule="auto"/>
        <w:jc w:val="both"/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</w:pPr>
    </w:p>
    <w:p w14:paraId="058DF4EA" w14:textId="36B4A4D6" w:rsidR="00F12C76" w:rsidRPr="003D637B" w:rsidRDefault="00EB2247" w:rsidP="00E84457">
      <w:pPr>
        <w:widowControl w:val="0"/>
        <w:spacing w:after="0" w:line="360" w:lineRule="auto"/>
        <w:jc w:val="both"/>
        <w:rPr>
          <w:sz w:val="26"/>
          <w:szCs w:val="26"/>
          <w:lang w:val="uk-UA"/>
        </w:rPr>
      </w:pP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Директор</w:t>
      </w: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ab/>
      </w: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ab/>
      </w: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ab/>
      </w:r>
      <w:r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ab/>
        <w:t xml:space="preserve">                                                                      Сергій БОБУ</w:t>
      </w:r>
      <w:r w:rsidR="00E84457" w:rsidRPr="003D637B">
        <w:rPr>
          <w:rFonts w:ascii="Calibri Light" w:eastAsia="Times New Roman" w:hAnsi="Calibri Light" w:cs="Calibri Light"/>
          <w:b/>
          <w:bCs/>
          <w:iCs/>
          <w:color w:val="000000"/>
          <w:kern w:val="0"/>
          <w:sz w:val="26"/>
          <w:szCs w:val="26"/>
          <w:lang w:val="uk-UA" w:eastAsia="uk-UA" w:bidi="uk-UA"/>
          <w14:ligatures w14:val="none"/>
        </w:rPr>
        <w:t>Х</w:t>
      </w:r>
    </w:p>
    <w:sectPr w:rsidR="00F12C76" w:rsidRPr="003D637B" w:rsidSect="00545D2C">
      <w:headerReference w:type="default" r:id="rId8"/>
      <w:pgSz w:w="11907" w:h="16840" w:code="9"/>
      <w:pgMar w:top="1134" w:right="851" w:bottom="1134" w:left="170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64EF" w14:textId="77777777" w:rsidR="00091ED4" w:rsidRDefault="00091ED4" w:rsidP="00EB2247">
      <w:pPr>
        <w:spacing w:after="0"/>
      </w:pPr>
      <w:r>
        <w:separator/>
      </w:r>
    </w:p>
  </w:endnote>
  <w:endnote w:type="continuationSeparator" w:id="0">
    <w:p w14:paraId="71460DC0" w14:textId="77777777" w:rsidR="00091ED4" w:rsidRDefault="00091ED4" w:rsidP="00EB22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0517" w14:textId="77777777" w:rsidR="00091ED4" w:rsidRDefault="00091ED4" w:rsidP="00EB2247">
      <w:pPr>
        <w:spacing w:after="0"/>
      </w:pPr>
      <w:r>
        <w:separator/>
      </w:r>
    </w:p>
  </w:footnote>
  <w:footnote w:type="continuationSeparator" w:id="0">
    <w:p w14:paraId="26C29588" w14:textId="77777777" w:rsidR="00091ED4" w:rsidRDefault="00091ED4" w:rsidP="00EB22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4101" w14:textId="77777777" w:rsidR="007D3E85" w:rsidRPr="0028427B" w:rsidRDefault="00A25963" w:rsidP="00545D2C">
    <w:pPr>
      <w:pStyle w:val="a3"/>
      <w:rPr>
        <w:b/>
      </w:rPr>
    </w:pPr>
    <w:r w:rsidRPr="00EB2247">
      <w:rPr>
        <w:rStyle w:val="2"/>
        <w:rFonts w:ascii="Calibri Light" w:hAnsi="Calibri Light" w:cs="Calibri Light"/>
      </w:rPr>
      <w:t>Хмельницьке комунальне підприємство «</w:t>
    </w:r>
    <w:r w:rsidRPr="00EB2247">
      <w:rPr>
        <w:rStyle w:val="2"/>
        <w:rFonts w:ascii="Calibri Light" w:hAnsi="Calibri Light" w:cs="Calibri Light"/>
        <w:lang w:val="ru-RU"/>
      </w:rPr>
      <w:t>ЕЛЕКТРОТРАНС</w:t>
    </w:r>
    <w:r w:rsidRPr="00EB2247">
      <w:rPr>
        <w:rStyle w:val="2"/>
        <w:rFonts w:ascii="Calibri Light" w:hAnsi="Calibri Light" w:cs="Calibri Light"/>
      </w:rPr>
      <w:t>»</w:t>
    </w:r>
  </w:p>
  <w:p w14:paraId="75C59841" w14:textId="77777777" w:rsidR="007D3E85" w:rsidRPr="00FA605B" w:rsidRDefault="007D3E85" w:rsidP="00545D2C">
    <w:pPr>
      <w:pStyle w:val="Heading1CharCharChar1"/>
      <w:keepNext w:val="0"/>
      <w:keepLines w:val="0"/>
      <w:spacing w:before="0"/>
      <w:jc w:val="both"/>
      <w:rPr>
        <w:rFonts w:ascii="Arial" w:hAnsi="Arial" w:cs="Arial"/>
        <w:b/>
        <w:color w:val="auto"/>
        <w:kern w:val="32"/>
        <w:sz w:val="6"/>
        <w:szCs w:val="6"/>
      </w:rPr>
    </w:pPr>
  </w:p>
  <w:p w14:paraId="386EEE19" w14:textId="77777777" w:rsidR="007D3E85" w:rsidRPr="00FA605B" w:rsidRDefault="00A25963" w:rsidP="00545D2C">
    <w:pPr>
      <w:pStyle w:val="Heading1CharCharChar1"/>
      <w:keepNext w:val="0"/>
      <w:keepLines w:val="0"/>
      <w:spacing w:before="0"/>
      <w:jc w:val="both"/>
      <w:rPr>
        <w:rFonts w:ascii="Arial" w:hAnsi="Arial" w:cs="Arial"/>
        <w:b/>
        <w:bCs/>
        <w:color w:val="auto"/>
        <w:kern w:val="32"/>
        <w:sz w:val="20"/>
        <w:szCs w:val="20"/>
      </w:rPr>
    </w:pPr>
    <w:r w:rsidRPr="00FA605B">
      <w:rPr>
        <w:rFonts w:ascii="Arial" w:hAnsi="Arial" w:cs="Arial"/>
        <w:b/>
        <w:color w:val="auto"/>
        <w:kern w:val="32"/>
        <w:sz w:val="20"/>
        <w:szCs w:val="20"/>
      </w:rPr>
      <w:t>Примітки до фінансової звітності</w:t>
    </w:r>
  </w:p>
  <w:p w14:paraId="12B111EC" w14:textId="30A5B598" w:rsidR="007D3E85" w:rsidRPr="00A25963" w:rsidRDefault="00A25963" w:rsidP="00545D2C">
    <w:pPr>
      <w:rPr>
        <w:rFonts w:ascii="Arial" w:hAnsi="Arial" w:cs="Arial"/>
        <w:b/>
        <w:sz w:val="20"/>
        <w:szCs w:val="20"/>
        <w:lang w:val="uk-UA" w:eastAsia="ru-RU"/>
      </w:rPr>
    </w:pPr>
    <w:proofErr w:type="spellStart"/>
    <w:r w:rsidRPr="00300944">
      <w:rPr>
        <w:rFonts w:ascii="Arial" w:hAnsi="Arial" w:cs="Arial"/>
        <w:b/>
        <w:sz w:val="20"/>
        <w:szCs w:val="20"/>
        <w:lang w:eastAsia="ru-RU"/>
      </w:rPr>
      <w:t>Фінансова</w:t>
    </w:r>
    <w:proofErr w:type="spellEnd"/>
    <w:r w:rsidRPr="00300944">
      <w:rPr>
        <w:rFonts w:ascii="Arial" w:hAnsi="Arial" w:cs="Arial"/>
        <w:b/>
        <w:sz w:val="20"/>
        <w:szCs w:val="20"/>
        <w:lang w:eastAsia="ru-RU"/>
      </w:rPr>
      <w:t xml:space="preserve"> </w:t>
    </w:r>
    <w:proofErr w:type="spellStart"/>
    <w:r w:rsidRPr="00300944">
      <w:rPr>
        <w:rFonts w:ascii="Arial" w:hAnsi="Arial" w:cs="Arial"/>
        <w:b/>
        <w:sz w:val="20"/>
        <w:szCs w:val="20"/>
        <w:lang w:eastAsia="ru-RU"/>
      </w:rPr>
      <w:t>звітність</w:t>
    </w:r>
    <w:proofErr w:type="spellEnd"/>
    <w:r w:rsidRPr="00300944">
      <w:rPr>
        <w:rFonts w:ascii="Arial" w:hAnsi="Arial" w:cs="Arial"/>
        <w:b/>
        <w:sz w:val="20"/>
        <w:szCs w:val="20"/>
        <w:lang w:eastAsia="ru-RU"/>
      </w:rPr>
      <w:t xml:space="preserve">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відповідно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 до ПСБО</w:t>
    </w:r>
    <w:r w:rsidRPr="00300944">
      <w:rPr>
        <w:rFonts w:ascii="Arial" w:hAnsi="Arial" w:cs="Arial"/>
        <w:b/>
        <w:sz w:val="20"/>
        <w:szCs w:val="20"/>
        <w:lang w:eastAsia="ru-RU"/>
      </w:rPr>
      <w:t xml:space="preserve"> за </w:t>
    </w:r>
    <w:proofErr w:type="spellStart"/>
    <w:r w:rsidRPr="00300944">
      <w:rPr>
        <w:rFonts w:ascii="Arial" w:hAnsi="Arial" w:cs="Arial"/>
        <w:b/>
        <w:sz w:val="20"/>
        <w:szCs w:val="20"/>
        <w:lang w:eastAsia="ru-RU"/>
      </w:rPr>
      <w:t>р</w:t>
    </w:r>
    <w:r>
      <w:rPr>
        <w:rFonts w:ascii="Arial" w:hAnsi="Arial" w:cs="Arial"/>
        <w:b/>
        <w:sz w:val="20"/>
        <w:szCs w:val="20"/>
        <w:lang w:eastAsia="ru-RU"/>
      </w:rPr>
      <w:t>ік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,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що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закінчився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 31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грудня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 202</w:t>
    </w:r>
    <w:r>
      <w:rPr>
        <w:rFonts w:ascii="Arial" w:hAnsi="Arial" w:cs="Arial"/>
        <w:b/>
        <w:sz w:val="20"/>
        <w:szCs w:val="20"/>
        <w:lang w:val="uk-UA" w:eastAsia="ru-RU"/>
      </w:rPr>
      <w:t>3</w:t>
    </w:r>
    <w:r w:rsidRPr="00300944">
      <w:rPr>
        <w:rFonts w:ascii="Arial" w:hAnsi="Arial" w:cs="Arial"/>
        <w:b/>
        <w:sz w:val="20"/>
        <w:szCs w:val="20"/>
        <w:lang w:eastAsia="ru-RU"/>
      </w:rPr>
      <w:t xml:space="preserve"> року</w:t>
    </w:r>
  </w:p>
  <w:p w14:paraId="2E09403C" w14:textId="77777777" w:rsidR="007D3E85" w:rsidRPr="00EB2247" w:rsidRDefault="00A25963" w:rsidP="00545D2C">
    <w:pPr>
      <w:rPr>
        <w:rStyle w:val="2"/>
        <w:rFonts w:ascii="Calibri Light" w:hAnsi="Calibri Light" w:cs="Calibri Light"/>
        <w:b w:val="0"/>
        <w:bCs w:val="0"/>
        <w:sz w:val="20"/>
        <w:szCs w:val="20"/>
      </w:rPr>
    </w:pPr>
    <w:r>
      <w:rPr>
        <w:rFonts w:ascii="Arial" w:hAnsi="Arial" w:cs="Arial"/>
        <w:b/>
        <w:sz w:val="20"/>
        <w:szCs w:val="20"/>
        <w:lang w:eastAsia="ru-RU"/>
      </w:rPr>
      <w:t xml:space="preserve">(в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тисячах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 гривень,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якщо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 не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зазначено</w:t>
    </w:r>
    <w:proofErr w:type="spellEnd"/>
    <w:r>
      <w:rPr>
        <w:rFonts w:ascii="Arial" w:hAnsi="Arial" w:cs="Arial"/>
        <w:b/>
        <w:sz w:val="20"/>
        <w:szCs w:val="20"/>
        <w:lang w:eastAsia="ru-RU"/>
      </w:rPr>
      <w:t xml:space="preserve"> </w:t>
    </w:r>
    <w:proofErr w:type="spellStart"/>
    <w:r>
      <w:rPr>
        <w:rFonts w:ascii="Arial" w:hAnsi="Arial" w:cs="Arial"/>
        <w:b/>
        <w:sz w:val="20"/>
        <w:szCs w:val="20"/>
        <w:lang w:eastAsia="ru-RU"/>
      </w:rPr>
      <w:t>інше</w:t>
    </w:r>
    <w:proofErr w:type="spellEnd"/>
    <w:r>
      <w:rPr>
        <w:rFonts w:ascii="Arial" w:hAnsi="Arial" w:cs="Arial"/>
        <w:b/>
        <w:sz w:val="20"/>
        <w:szCs w:val="20"/>
        <w:lang w:eastAsia="ru-RU"/>
      </w:rPr>
      <w:t>)</w:t>
    </w:r>
  </w:p>
  <w:p w14:paraId="33F20BCC" w14:textId="77777777" w:rsidR="007D3E85" w:rsidRPr="00EB2247" w:rsidRDefault="00A25963" w:rsidP="00545D2C">
    <w:pPr>
      <w:rPr>
        <w:rStyle w:val="2"/>
        <w:rFonts w:ascii="Calibri Light" w:hAnsi="Calibri Light" w:cs="Calibri Light"/>
        <w:b w:val="0"/>
        <w:bCs w:val="0"/>
        <w:sz w:val="20"/>
        <w:szCs w:val="20"/>
      </w:rPr>
    </w:pPr>
    <w:r w:rsidRPr="00EB2247">
      <w:rPr>
        <w:rStyle w:val="2"/>
        <w:rFonts w:ascii="Calibri Light" w:hAnsi="Calibri Light" w:cs="Calibri Light"/>
        <w:sz w:val="20"/>
        <w:szCs w:val="20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5746E20"/>
    <w:multiLevelType w:val="hybridMultilevel"/>
    <w:tmpl w:val="C102DBCE"/>
    <w:lvl w:ilvl="0" w:tplc="F83E223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744038">
    <w:abstractNumId w:val="3"/>
  </w:num>
  <w:num w:numId="2" w16cid:durableId="760565215">
    <w:abstractNumId w:val="0"/>
  </w:num>
  <w:num w:numId="3" w16cid:durableId="558907927">
    <w:abstractNumId w:val="1"/>
  </w:num>
  <w:num w:numId="4" w16cid:durableId="461268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F0"/>
    <w:rsid w:val="00091ED4"/>
    <w:rsid w:val="000E4A52"/>
    <w:rsid w:val="00185938"/>
    <w:rsid w:val="00234A07"/>
    <w:rsid w:val="0028500F"/>
    <w:rsid w:val="002D3D00"/>
    <w:rsid w:val="003D637B"/>
    <w:rsid w:val="00486A58"/>
    <w:rsid w:val="005A7E10"/>
    <w:rsid w:val="00610B16"/>
    <w:rsid w:val="00622143"/>
    <w:rsid w:val="00683B4E"/>
    <w:rsid w:val="006C0B77"/>
    <w:rsid w:val="007D3E85"/>
    <w:rsid w:val="00806C58"/>
    <w:rsid w:val="008242FF"/>
    <w:rsid w:val="00867497"/>
    <w:rsid w:val="00870751"/>
    <w:rsid w:val="008924C2"/>
    <w:rsid w:val="00893EA3"/>
    <w:rsid w:val="008C766A"/>
    <w:rsid w:val="00922C48"/>
    <w:rsid w:val="009C0033"/>
    <w:rsid w:val="00A25963"/>
    <w:rsid w:val="00A61814"/>
    <w:rsid w:val="00B8441F"/>
    <w:rsid w:val="00B915B7"/>
    <w:rsid w:val="00B940DD"/>
    <w:rsid w:val="00D2501C"/>
    <w:rsid w:val="00DB7293"/>
    <w:rsid w:val="00E5572A"/>
    <w:rsid w:val="00E60C4D"/>
    <w:rsid w:val="00E72028"/>
    <w:rsid w:val="00E84457"/>
    <w:rsid w:val="00EA59DF"/>
    <w:rsid w:val="00EB2247"/>
    <w:rsid w:val="00EE4070"/>
    <w:rsid w:val="00EF36E0"/>
    <w:rsid w:val="00F12C76"/>
    <w:rsid w:val="00F257D6"/>
    <w:rsid w:val="00F9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F392"/>
  <w15:chartTrackingRefBased/>
  <w15:docId w15:val="{702A51CE-B71D-477E-90A7-19DF6537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B2247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CharCharChar1">
    <w:name w:val="Heading 1 Char Char Char1"/>
    <w:basedOn w:val="a"/>
    <w:next w:val="a"/>
    <w:qFormat/>
    <w:rsid w:val="00EB2247"/>
    <w:pPr>
      <w:keepNext/>
      <w:keepLines/>
      <w:widowControl w:val="0"/>
      <w:spacing w:before="240" w:after="0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uk-UA" w:eastAsia="uk-UA" w:bidi="uk-UA"/>
      <w14:ligatures w14:val="none"/>
    </w:rPr>
  </w:style>
  <w:style w:type="character" w:customStyle="1" w:styleId="10">
    <w:name w:val="Заголовок 1 Знак"/>
    <w:basedOn w:val="a0"/>
    <w:link w:val="1"/>
    <w:rsid w:val="00EB2247"/>
    <w:rPr>
      <w:rFonts w:ascii="Calibri Light" w:eastAsia="Times New Roman" w:hAnsi="Calibri Light" w:cs="Times New Roman"/>
      <w:color w:val="2E74B5"/>
      <w:sz w:val="32"/>
      <w:szCs w:val="32"/>
      <w:lang w:val="uk-UA" w:eastAsia="uk-UA" w:bidi="uk-UA"/>
    </w:rPr>
  </w:style>
  <w:style w:type="character" w:customStyle="1" w:styleId="2">
    <w:name w:val="Колонтитул (2)"/>
    <w:basedOn w:val="a0"/>
    <w:rsid w:val="00EB2247"/>
    <w:rPr>
      <w:rFonts w:ascii="Arial" w:eastAsia="Arial" w:hAnsi="Arial" w:cs="Arial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styleId="a3">
    <w:name w:val="header"/>
    <w:basedOn w:val="a"/>
    <w:link w:val="a4"/>
    <w:uiPriority w:val="99"/>
    <w:unhideWhenUsed/>
    <w:rsid w:val="00EB2247"/>
    <w:pPr>
      <w:widowControl w:val="0"/>
      <w:tabs>
        <w:tab w:val="center" w:pos="4677"/>
        <w:tab w:val="right" w:pos="9355"/>
      </w:tabs>
      <w:spacing w:after="0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uk-UA" w:eastAsia="uk-UA" w:bidi="uk-UA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EB2247"/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uk-UA" w:eastAsia="uk-UA" w:bidi="uk-UA"/>
      <w14:ligatures w14:val="none"/>
    </w:rPr>
  </w:style>
  <w:style w:type="character" w:customStyle="1" w:styleId="11">
    <w:name w:val="Заголовок 1 Знак1"/>
    <w:basedOn w:val="a0"/>
    <w:uiPriority w:val="9"/>
    <w:rsid w:val="00EB2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EB224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B2247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185938"/>
    <w:pPr>
      <w:ind w:left="720"/>
      <w:contextualSpacing/>
    </w:pPr>
  </w:style>
  <w:style w:type="table" w:styleId="a8">
    <w:name w:val="Table Grid"/>
    <w:basedOn w:val="a1"/>
    <w:uiPriority w:val="39"/>
    <w:rsid w:val="008C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56D0-67D5-4612-B920-0AE587D5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Приставчук Катерина Андріївна</dc:creator>
  <cp:keywords/>
  <dc:description/>
  <cp:lastModifiedBy>Приставчук Катерина Андріївна</cp:lastModifiedBy>
  <cp:revision>12</cp:revision>
  <cp:lastPrinted>2024-03-15T06:14:00Z</cp:lastPrinted>
  <dcterms:created xsi:type="dcterms:W3CDTF">2024-03-12T12:15:00Z</dcterms:created>
  <dcterms:modified xsi:type="dcterms:W3CDTF">2024-03-15T06:14:00Z</dcterms:modified>
</cp:coreProperties>
</file>