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bookmarkStart w:id="0" w:name="_GoBack"/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Управліннями молоді та спорту, освіти, культури і туризму та іншими проводиться робота з виконання заходів реалізації програми.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До послуг мешканців міста працюють: 1 стадіон, 12 футбольних полів, 210 спортивних майданчиків, з них 38 майданчиків з тренажерним обладнанням, 17 тенісних кортів, 6 спортивних майданчиків зі штучним покриттям, 3 басейни, 79 спортивних залів, 1 льодовий майданчик, 2 легкоатлетичні манежі та 17 приватних спортивних клубів, 21 підлітковий клуб за місцем проживання, спортивно-культурний центр «Плоскирів» та центр соціальних служб для сім’ї, дітей та молоді.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На виконання завдань та заходів програми щорічно виділяються кошти з міського бюджету, що дало змогу проводити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більше 1000 молодіжних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та спортивних заходів. Якщо у 2012 році використано 9,3 млн. грн., то у 2016 році 25,3 млн. грн.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(</w:t>
      </w:r>
      <w:proofErr w:type="gramStart"/>
      <w:r w:rsidRPr="00CA274E">
        <w:rPr>
          <w:rFonts w:ascii="Arial" w:eastAsia="Times New Roman" w:hAnsi="Arial" w:cs="Arial"/>
          <w:color w:val="5A5A5A"/>
          <w:sz w:val="18"/>
          <w:szCs w:val="18"/>
        </w:rPr>
        <w:t>за</w:t>
      </w:r>
      <w:proofErr w:type="gramEnd"/>
      <w:r w:rsidRPr="00CA274E">
        <w:rPr>
          <w:rFonts w:ascii="Arial" w:eastAsia="Times New Roman" w:hAnsi="Arial" w:cs="Arial"/>
          <w:color w:val="5A5A5A"/>
          <w:sz w:val="18"/>
          <w:szCs w:val="18"/>
        </w:rPr>
        <w:t xml:space="preserve"> 5 років близько 100 млн. грн.).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Протягом останніх п’яти років з метою соціального становлення молоді, розвитку фізичної культури та спорту, організації змістовного дозвілля молоді та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популяризації здорового способу життя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проведено реконструкцію СК «Поділля» по вул. Проскурівській, 81 та спортивного майданчику із штучним покриттям в парку ім. І.Франка;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побудовано автоматичну систему поливу футбольного поля «Локомотив» відкрито 3 сучасних підліткових клуби за місцем проживання, спортивні майданчики зі штучним покриттям (ЗОШ №18, НВК №10, НВК №2).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Проведено капітальні ремонти: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спортзалів та облаштування зовнішнього освітлення футбольного поля з встановленням освітлювальних мачт у ДЮСШ №1 на вул. Щорса, 17;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спортивних залів боротьби та боксу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на вул. Проскурівській, 66,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приміщення шахового клубу на вул. Проскурівській, 66,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підлоги в залі для фехтування на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пров. Пекарському, 2,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 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приміщення тиру на вул. Березневій, 1 у ДЮСШ №2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;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футбольного поля стадіону «Локомотив»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(вул. Курчатова, 90);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роздягалень, трибун та приміщення тиру СКЦ “Плоскирів” по вул. Курчатова, 90;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утеплення адміністративної будівлі СКЦ «Плоскирів»;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7 приміщень підліткових клубів за місцем проживання.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Значна увага приділялася зміцненню матеріально-технічної бази спортивних закладів. Придбано спортивного обладнання, техніки та меблів на суму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1,1 млн. грн.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Надано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фінансову допомогу спортсменам по підготовці до ХХХІ Літніх Олімпійських іграх та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фінансову допомогу спортсменам, які посіли І- І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V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місце на ХХХІ Літніх Олімпійських іграх та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XV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Літніх Паралімпійських іграх та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тренерам, які сприяли досягненню цих результатів на суму 400 тис. грн.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Забезпечено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виплату щомісячної стипендії міської ради 10 кращим спортсменам (до 70,0 тис. грн. щорічно).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</w:rPr>
        <w:t>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За кошти міського бюджету надано кредити двом молодим сім’ям на придбання житла на суму 460,0 тис. грн.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Значна увага міською владою і громадськими організаціями була приділена наданню соціальних послуг різним категоріям дітей та молоді. На організацію оздоровлення дітей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у 2012 році виділялось 800,0 тис.грн., у 2016 році - 1673,5 тис. грн. Близько 8 тисяч дітей пільгових категорій міста щорічно проходять оздоровлення в дитячих санаторіях та оздоровчих таборах та таборах з денним перебуванням.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Мережу таборів збережено. У 2016 працювало 14 мовних таборів при загальноосвітніх навчальних закладах .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З 2013 року ПНЗ «ДЮОК «Чайка» м. Хмельницького»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працює у чотири зміни, охоплюючи оздоровленням 1100 дітей щорічно.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Приємно зазначити, що протягом останніх років активізувалась діяльність молодіжних об’єднань. Так за ініціативи молоді проведено 3 фестивалі всеукраїнського рівня: «Республіка» (графіті), «Грін-фест» (фестиваль свободи до Дня молоді за ініціативи «Молодіжного клубу розвитку» та фестиваль сучасного танцю і екстремальних видів спорту «Джемчік»), флешмоби (створення Вишиванки, гербу міста тощо), чемпіонати КВН (по 3-4 гри щорічно в кожному чемпіонаті). Проведені молодіжні форуми, в ході яких відбуваються презентації діяльності громадських організацій, обмін досвідом та обговорення спільних проектів. Так, щороку Управління молоді та спорту надає фінансову підтримку, в середньому, 10-ти молодіжним громадським організаціям на впровадження соціальних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проектів. Крім того, щорічно молодь міста бере участь у розроблені соціальної реклами, кращі проекти розміщались на рекламних площинах міста.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</w:rPr>
        <w:t> Завдяки підтримки міської влади наприкінці минулого року з метою розвитку молодіжних ініціатив громадській організації «Молодіжний клуб розвитку» надано приміщення в тимчасове безоплатне користування на 2 роки за адресою                  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вул. Сковороди, 11 (гуртує навколо себе ініціативну молодь шляхом залучення громадськості для вирішення суспільно-важливих завдань). Хочеться відмітити, що завдяки активності молодих хмельничан наше місто вже не вперше приймає у себе представників найуспішнішої європейської молодіжної організації "Європейський молодіжний парламент" і стає осередком їх діяльності.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У 2016 році створено молодіжну громадську раду при управлінні, до якої ввійшли представники молодіжних громадських організацій та студентського самоврядування.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До дня молоді та міжнародного дня студента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активісти громадського руху відзначаються грамотами міської ради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Також кожного року проводяться урочисті заходи з нагоди Дня партизанської слави, Дня українського козацтва, Дня вшанування учасників бойових дій на території інших держав та з нагоди Дня визволення м. Хмельницького від німецько-фашистських загарбників. Учні навчальних закладів міста беруть активну участь в міському етапі змагань всеукраїнського фізкультурно-патріотичного фестивалю школярів «Козацький гарт» та «Сокіл (Джура)»,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в міських змаганнях «Юні козаки Поділля», «Зірниця» організованим управлінням молоді та спорту спільно з управлінням освіти. В рамках вшанування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пам’яті жертв голодоморів для учнівської та студентської молоді проводяться уроки пам’яті, бесіди, лекції, виховні години: «Твій біль, Україно», «Великий Голодомор в Україні», «Крихта хліба на землю впала», «Голодомор: причини і наслідки».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lastRenderedPageBreak/>
        <w:t xml:space="preserve">Активізувалась волонтерська діяльність. Разом із зареєстрованими громадськими об’єднаннями та благодійними фондами створені волонтерські загони в кожному навчальному закладі, в установах, організаціях. З 2014 року волонтери відзначаються грамотами міської ради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Управління молоді та спорту плідно співпрацює з новоствореним у минулому році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громадським об’єднанням «Українська асоціація фахівців з подолання наслідків психотравмуючих подій». Психологи об’єднання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проводять тренінгову роботу як з учасниками бойових дій, так і з членами їх сімей.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Ще одним напрямком реалізації молодіжної політики є надання соціальних послуг окремим молодим громадянам (від 14-35 років) та молодим сім’ям Центром соціальних служб для сім’ї, дітей та молоді. Щороку надається, в-середньому,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10,5 тис.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послуг (соціально-педагогічних, психологічних, юридичних, інформаційних).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З 2013 року при Центрі соціальних служб для сім’ї, дітей та молоді працюють фахівці із соціальної роботи. Фахівцями із соціальної роботи, соціальними працівниками та психологами Центру проводиться робота з сім’ями, які потрапили у складні життєві обставини, там за згодою цих сімей ведеться їх соціальний супровід. З липня 2014 року</w:t>
      </w:r>
      <w:r w:rsidRPr="00CA274E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проводиться профілактична та надається психологічна допомога переселенцям, які тимчасового проживають у нашому регіоні та психологічна підтримка юнаків, які отримали поранення у зоні АТО.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>Фізичною культурою та спортом в м. Хмельницькому регулярно займаються понад 20 тис. чол., з них 6404 чол. в секціях дитячо-юнацьких спортивних шкіл, школи вищої спортивної майстерності, спортивних клубів. Відвідують заняття з фізичної культури в навчальних закладах містах 54360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 xml:space="preserve"> учнів та студентів. Управління молоді та спорту щорічно проводить понад 120 міських спортивно-масових заходів. Поряд з тим проводяться чемпіонати міста з видів спорту, які культивуються в м. Хмельницькому. Стало традицією проводити в місті відкриті міські змагання з шахів пам’яті А.С. Сургунда, всеукраїнський турнір з вільної боротьби "Олімпійські надії", відкриті міські змагання з тенісу "Зірки Поділля", велогонку “Тур братів Стародубів”,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 xml:space="preserve"> відкритий міський турнір з боксу пам’яті Є. Кужельного та міські змагання з футболу серед учнів ЗОШ на призи міської ради до дня міста.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>Для залучення дітей, учнівської молоді до регулярних занять фізичною культурою і спортом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 xml:space="preserve"> щорічно проводяться міські змагання з футболу на призи клубу “Шкіряний м’яч”, з шахів “Біла тура”, першості міста з видів спорту, які культивуються в 15 дитячо-юнацьких спортивних школах та спортивних клубах.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>За рахунок удосконалення роботи дитячо-юнацьких спортивних закладів, відкриття у них нових відділень (художньої гімнастики, тхеквондо, регбі, фехтування, веслування на байдарках і каное, футзалу) середньорічна кількість учнів, які займаються в ДЮСШ, збільшилась з 1689 у 2012 році до 1849 у 2016році.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>Управління освіти Хмельницької міської ради надає безкоштовно спортивні споруди середніх навчальних закладів для проведення занять дітей, які займаються в дитячо-юнацьких спортивних школах та спортивних клубах міста.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>Управлінням молоді та спорту спільно з центром „Інваспорт”, при якому функціонує дитячо-юнацька спортивна школа та навчається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b/>
          <w:bCs/>
          <w:i/>
          <w:iCs/>
          <w:color w:val="5A5A5A"/>
          <w:sz w:val="18"/>
          <w:szCs w:val="18"/>
          <w:lang w:val="ru-RU"/>
        </w:rPr>
        <w:t xml:space="preserve"> 350 дітей, щорічно проводиться міська спартакіада для дітей-інвалідів „Повір у себе” та окремі фізкультурно-спортивні заходи.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До складу збірних команд України входять понад 50 спортсменів міста. Спортсмени міста гідно представляють місто на міжнародній арені. На Перших Європейських іграх в Баку (2015 рік)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Аліна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Махиня виборола золото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з вільної боротьби. На чемпіонаті світу 2015 року з вільної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боротьби, який проходив у м. Лас-Вегас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у ваговій категорії 97 кг бронзова нагорода у Павла Олійника. Янчук Дмитро на ХХХІ Літніх Олімпійських іграх в Ріо-де-Жанейро виборов бронзову нагороду у каное-двійці на дистанції 1000 метрів,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Грищун Інна виборола четверте місце у байдарці-двійці та байдарці-четвірці на 500 метрів, також четверте місце виборов Алтухов Павло у каное-одиночці на дистанції 1000 метрів. Переможцем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XV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Паралімпійських ігор став Антонюк Володимир у змаганнях з футболу, а Гуранська Тетяна зайняла почесне четверте місце у змаганнях з волейболу.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>Регбійна команда “Поділля” приймає участь та постійно вдало виступає у чемпіонаті України з регбі-7 та регбі-15.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Жіноча гандбольна команда “Хмельничанка” приймає участь у вищій лізі чемпіонату України з гандболу.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Команда “Новатор” приймає участь в чемпіонаті України з волейболу в суперлізі, розпочала участь жіноча волейбольна команда “Новатор” у вищій лізі та чоловіча волейбольна команда “Новатор 2-Прикордонник” у вищій лізі чемпіонату України з волейболу. Розпочала виступи футбольна команда “Поділля” у чемпіонаті України з футболу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серед команд другої ліги ПФЛ України.</w:t>
      </w:r>
    </w:p>
    <w:p w:rsidR="00CA274E" w:rsidRPr="00CA274E" w:rsidRDefault="00CA274E" w:rsidP="00CA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CA274E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В чемпіонаті України з футболу, баскетболу серед юнаків виступають команди дитячо-юнацької спортивної школи та дитячо-юнацького футбольного клубу «Поділля». </w:t>
      </w:r>
      <w:r w:rsidRPr="00CA274E">
        <w:rPr>
          <w:rFonts w:ascii="Arial" w:eastAsia="Times New Roman" w:hAnsi="Arial" w:cs="Arial"/>
          <w:color w:val="5A5A5A"/>
          <w:sz w:val="18"/>
          <w:szCs w:val="18"/>
        </w:rPr>
        <w:t>Проводиться регулярний чемпіонат міста з хокею з шайбою.</w:t>
      </w:r>
    </w:p>
    <w:bookmarkEnd w:id="0"/>
    <w:p w:rsidR="00D11706" w:rsidRPr="00CA274E" w:rsidRDefault="00D11706" w:rsidP="00CA274E"/>
    <w:sectPr w:rsidR="00D11706" w:rsidRPr="00CA27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B80"/>
    <w:multiLevelType w:val="multilevel"/>
    <w:tmpl w:val="4500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3B7"/>
    <w:multiLevelType w:val="multilevel"/>
    <w:tmpl w:val="0D9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F2ECA"/>
    <w:multiLevelType w:val="multilevel"/>
    <w:tmpl w:val="523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241DE"/>
    <w:multiLevelType w:val="multilevel"/>
    <w:tmpl w:val="55C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26CA8"/>
    <w:multiLevelType w:val="multilevel"/>
    <w:tmpl w:val="566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50205"/>
    <w:multiLevelType w:val="multilevel"/>
    <w:tmpl w:val="3468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C351D"/>
    <w:multiLevelType w:val="multilevel"/>
    <w:tmpl w:val="B20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B"/>
    <w:rsid w:val="00237C3F"/>
    <w:rsid w:val="00593DCB"/>
    <w:rsid w:val="00637104"/>
    <w:rsid w:val="00CA274E"/>
    <w:rsid w:val="00D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E10B-6B84-4659-862F-54EB4B3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DCB"/>
    <w:rPr>
      <w:b/>
      <w:bCs/>
    </w:rPr>
  </w:style>
  <w:style w:type="character" w:customStyle="1" w:styleId="apple-converted-space">
    <w:name w:val="apple-converted-space"/>
    <w:basedOn w:val="DefaultParagraphFont"/>
    <w:rsid w:val="00593DCB"/>
  </w:style>
  <w:style w:type="character" w:styleId="Emphasis">
    <w:name w:val="Emphasis"/>
    <w:basedOn w:val="DefaultParagraphFont"/>
    <w:uiPriority w:val="20"/>
    <w:qFormat/>
    <w:rsid w:val="00593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2017-04-03T12:26:00Z</dcterms:created>
  <dcterms:modified xsi:type="dcterms:W3CDTF">2017-04-03T12:26:00Z</dcterms:modified>
</cp:coreProperties>
</file>