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60" w:rsidRDefault="00D81160" w:rsidP="00D8116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81160" w:rsidRDefault="00D81160" w:rsidP="00D8116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F8486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 xml:space="preserve">«Мережевий екран, код ДК 021:2015-32420000-3 Мережеве обладнання» </w:t>
      </w:r>
    </w:p>
    <w:p w:rsidR="00D81160" w:rsidRPr="008C05C8" w:rsidRDefault="00D81160" w:rsidP="00D8116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D81160" w:rsidRPr="008C05C8" w:rsidRDefault="00D81160" w:rsidP="00D81160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693"/>
      </w:tblGrid>
      <w:tr w:rsidR="00D81160" w:rsidRPr="008C05C8" w:rsidTr="00D81160">
        <w:trPr>
          <w:trHeight w:val="205"/>
        </w:trPr>
        <w:tc>
          <w:tcPr>
            <w:tcW w:w="1327" w:type="dxa"/>
          </w:tcPr>
          <w:p w:rsidR="00D81160" w:rsidRPr="008C05C8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D81160" w:rsidRPr="008C05C8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D81160" w:rsidRPr="008C05C8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D81160" w:rsidRPr="008C05C8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81160" w:rsidRPr="008C05C8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D81160" w:rsidRPr="008C05C8" w:rsidTr="00D81160">
        <w:trPr>
          <w:trHeight w:val="271"/>
        </w:trPr>
        <w:tc>
          <w:tcPr>
            <w:tcW w:w="1327" w:type="dxa"/>
            <w:vAlign w:val="center"/>
          </w:tcPr>
          <w:p w:rsidR="00D81160" w:rsidRPr="008C05C8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D81160" w:rsidRPr="008C05C8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Мережевий  екран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1160" w:rsidRPr="00E3547F" w:rsidRDefault="00D81160" w:rsidP="001749A9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 штуки</w:t>
            </w:r>
          </w:p>
        </w:tc>
      </w:tr>
    </w:tbl>
    <w:p w:rsidR="00D81160" w:rsidRDefault="00D81160" w:rsidP="00D8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81160" w:rsidRDefault="00D81160" w:rsidP="00D811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p w:rsidR="00D81160" w:rsidRDefault="00D81160" w:rsidP="00D811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973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2409"/>
        <w:gridCol w:w="5812"/>
      </w:tblGrid>
      <w:tr w:rsidR="00D81160" w:rsidRPr="009241A9" w:rsidTr="00D81160">
        <w:trPr>
          <w:trHeight w:val="1085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81160" w:rsidRPr="009241A9" w:rsidRDefault="00D81160" w:rsidP="001749A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Мережевий екран – 2 штуки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81160" w:rsidRPr="009241A9" w:rsidRDefault="00D81160" w:rsidP="001749A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1A9">
              <w:rPr>
                <w:rFonts w:ascii="Times New Roman" w:hAnsi="Times New Roman" w:cs="Times New Roman"/>
                <w:b/>
                <w:bCs/>
              </w:rPr>
              <w:t xml:space="preserve">Характеристика </w:t>
            </w:r>
          </w:p>
          <w:p w:rsidR="00D81160" w:rsidRPr="009241A9" w:rsidRDefault="00D81160" w:rsidP="001749A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1A9">
              <w:rPr>
                <w:rFonts w:ascii="Times New Roman" w:hAnsi="Times New Roman" w:cs="Times New Roman"/>
                <w:b/>
                <w:bCs/>
              </w:rPr>
              <w:t>(вимоги замовника)</w:t>
            </w:r>
          </w:p>
        </w:tc>
      </w:tr>
      <w:tr w:rsidR="00D81160" w:rsidRPr="00E64E53" w:rsidTr="00D81160">
        <w:trPr>
          <w:trHeight w:val="433"/>
        </w:trPr>
        <w:tc>
          <w:tcPr>
            <w:tcW w:w="151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  <w:r w:rsidRPr="00413168">
              <w:rPr>
                <w:rFonts w:ascii="Times New Roman" w:hAnsi="Times New Roman" w:cs="Times New Roman"/>
                <w:b/>
              </w:rPr>
              <w:t>Технічні вимоги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Загальні вимоги</w:t>
            </w:r>
          </w:p>
        </w:tc>
        <w:tc>
          <w:tcPr>
            <w:tcW w:w="581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81092A">
              <w:rPr>
                <w:rFonts w:ascii="Times New Roman" w:hAnsi="Times New Roman" w:cs="Times New Roman"/>
              </w:rPr>
              <w:t>Міжмережевий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екран (NGFW) повинен здійснювати</w:t>
            </w:r>
            <w:bookmarkStart w:id="0" w:name="_GoBack"/>
            <w:bookmarkEnd w:id="0"/>
            <w:r w:rsidRPr="0081092A">
              <w:rPr>
                <w:rFonts w:ascii="Times New Roman" w:hAnsi="Times New Roman" w:cs="Times New Roman"/>
              </w:rPr>
              <w:t xml:space="preserve"> інспекцію мережевого трафіку та захист корпоративної інфраструктури відповідно до вимог: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1092A">
              <w:rPr>
                <w:rFonts w:ascii="Times New Roman" w:hAnsi="Times New Roman" w:cs="Times New Roman"/>
              </w:rPr>
              <w:t>-</w:t>
            </w:r>
            <w:r w:rsidRPr="0081092A">
              <w:rPr>
                <w:rFonts w:ascii="Times New Roman" w:hAnsi="Times New Roman" w:cs="Times New Roman"/>
              </w:rPr>
              <w:tab/>
              <w:t>якщо відповідно до функціональності пристроїв/систем або згідно архітектурного підходу реалізація технічних вимог потребує додаткових пристроїв/систем (</w:t>
            </w:r>
            <w:proofErr w:type="spellStart"/>
            <w:r w:rsidRPr="0081092A">
              <w:rPr>
                <w:rFonts w:ascii="Times New Roman" w:hAnsi="Times New Roman" w:cs="Times New Roman"/>
              </w:rPr>
              <w:t>кластеризації</w:t>
            </w:r>
            <w:proofErr w:type="spellEnd"/>
            <w:r w:rsidRPr="0081092A">
              <w:rPr>
                <w:rFonts w:ascii="Times New Roman" w:hAnsi="Times New Roman" w:cs="Times New Roman"/>
              </w:rPr>
              <w:t>, маршрутизатори, комутатори) або ліцензій, тому це має бути закладено в комплект поставки з урахуванням вимог до строку та функціональності технічної підтримки;</w:t>
            </w:r>
          </w:p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1092A">
              <w:rPr>
                <w:rFonts w:ascii="Times New Roman" w:hAnsi="Times New Roman" w:cs="Times New Roman"/>
              </w:rPr>
              <w:t>-</w:t>
            </w:r>
            <w:r w:rsidRPr="0081092A">
              <w:rPr>
                <w:rFonts w:ascii="Times New Roman" w:hAnsi="Times New Roman" w:cs="Times New Roman"/>
              </w:rPr>
              <w:tab/>
              <w:t>у комплекті запропонованого рішення мають бути необхідні ліцензії для забезпечення зазначеного в цих вимогах функціоналу та кількісних показників продуктивності;</w:t>
            </w:r>
          </w:p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1092A">
              <w:rPr>
                <w:rFonts w:ascii="Times New Roman" w:hAnsi="Times New Roman" w:cs="Times New Roman"/>
              </w:rPr>
              <w:t>-</w:t>
            </w:r>
            <w:r w:rsidRPr="0081092A">
              <w:rPr>
                <w:rFonts w:ascii="Times New Roman" w:hAnsi="Times New Roman" w:cs="Times New Roman"/>
              </w:rPr>
              <w:tab/>
              <w:t xml:space="preserve">на обладнання не має бути анонсів </w:t>
            </w:r>
            <w:proofErr w:type="spellStart"/>
            <w:r w:rsidRPr="0081092A">
              <w:rPr>
                <w:rFonts w:ascii="Times New Roman" w:hAnsi="Times New Roman" w:cs="Times New Roman"/>
              </w:rPr>
              <w:t>end-of-sale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1092A">
              <w:rPr>
                <w:rFonts w:ascii="Times New Roman" w:hAnsi="Times New Roman" w:cs="Times New Roman"/>
              </w:rPr>
              <w:t>end-of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92A">
              <w:rPr>
                <w:rFonts w:ascii="Times New Roman" w:hAnsi="Times New Roman" w:cs="Times New Roman"/>
              </w:rPr>
              <w:t>life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(EOS/EOL) від виробника.</w:t>
            </w:r>
          </w:p>
        </w:tc>
      </w:tr>
      <w:tr w:rsidR="00D81160" w:rsidRPr="00E64E53" w:rsidTr="00D81160">
        <w:trPr>
          <w:trHeight w:val="1828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Архітектура та форм-фактор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NGFW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повинні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являти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собою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програмно-апаратний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комплекс (ПАК),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висотою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більше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ніж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 RU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  <w:proofErr w:type="gram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  блок</w:t>
            </w:r>
            <w:proofErr w:type="gram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живлення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-я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кщо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таких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пристроїв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повинно бути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декілька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кластеризація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модулі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безпеки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маршрутизатори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тощо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вони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мають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бути 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комплекті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поставки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рішення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Мережеві інтерфейси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 * GE RJ45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 * USB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-н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консольн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ого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порт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Продуктивність сервісів безпеки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 пропуск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здатність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Stateful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Firewall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(на пакетах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розміром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1518 байт, UDP) - 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Гбіт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/c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ількість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одночасних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TCP-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сесій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 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1 400 000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нових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TCP-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сесій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/секунду - 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100 000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пропуск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здатність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SSL/TLS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використанням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IPS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1.4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Гбіт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/c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Продуктивність VPN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пропуск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здатність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IPSec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VPN -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7.1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Гбіт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/c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одночасних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клієнт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-шлюз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IPSec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VPN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підключень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500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одночасних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шлюз-шлюз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IPSec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VPN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підключень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200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Віртуалізація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81092A">
              <w:rPr>
                <w:rFonts w:ascii="Times New Roman" w:hAnsi="Times New Roman" w:cs="Times New Roman"/>
              </w:rPr>
              <w:t>- віртуальні FW (</w:t>
            </w:r>
            <w:proofErr w:type="spellStart"/>
            <w:r w:rsidRPr="0081092A">
              <w:rPr>
                <w:rFonts w:ascii="Times New Roman" w:hAnsi="Times New Roman" w:cs="Times New Roman"/>
              </w:rPr>
              <w:t>Virtual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92A">
              <w:rPr>
                <w:rFonts w:ascii="Times New Roman" w:hAnsi="Times New Roman" w:cs="Times New Roman"/>
              </w:rPr>
              <w:t>Systems</w:t>
            </w:r>
            <w:proofErr w:type="spellEnd"/>
            <w:r w:rsidRPr="0081092A">
              <w:rPr>
                <w:rFonts w:ascii="Times New Roman" w:hAnsi="Times New Roman" w:cs="Times New Roman"/>
              </w:rPr>
              <w:t>/</w:t>
            </w:r>
            <w:proofErr w:type="spellStart"/>
            <w:r w:rsidRPr="0081092A">
              <w:rPr>
                <w:rFonts w:ascii="Times New Roman" w:hAnsi="Times New Roman" w:cs="Times New Roman"/>
              </w:rPr>
              <w:t>Security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92A">
              <w:rPr>
                <w:rFonts w:ascii="Times New Roman" w:hAnsi="Times New Roman" w:cs="Times New Roman"/>
              </w:rPr>
              <w:t>contexts</w:t>
            </w:r>
            <w:proofErr w:type="spellEnd"/>
            <w:r w:rsidRPr="0081092A">
              <w:rPr>
                <w:rFonts w:ascii="Times New Roman" w:hAnsi="Times New Roman" w:cs="Times New Roman"/>
              </w:rPr>
              <w:t>/</w:t>
            </w:r>
            <w:proofErr w:type="spellStart"/>
            <w:r w:rsidRPr="0081092A">
              <w:rPr>
                <w:rFonts w:ascii="Times New Roman" w:hAnsi="Times New Roman" w:cs="Times New Roman"/>
              </w:rPr>
              <w:t>Virtual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92A">
              <w:rPr>
                <w:rFonts w:ascii="Times New Roman" w:hAnsi="Times New Roman" w:cs="Times New Roman"/>
              </w:rPr>
              <w:t>Domains</w:t>
            </w:r>
            <w:proofErr w:type="spellEnd"/>
            <w:r w:rsidRPr="0081092A">
              <w:rPr>
                <w:rFonts w:ascii="Times New Roman" w:hAnsi="Times New Roman" w:cs="Times New Roman"/>
              </w:rPr>
              <w:t>), що являють собою незалежні пристрої із власними політиками безпеки, інтерфейсами, адміністраторами, тощо -  не менше 10-и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Висока доступність (</w:t>
            </w:r>
            <w:proofErr w:type="spellStart"/>
            <w:r w:rsidRPr="0081092A">
              <w:rPr>
                <w:rFonts w:ascii="Times New Roman" w:hAnsi="Times New Roman" w:cs="Times New Roman"/>
              </w:rPr>
              <w:t>high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92A">
              <w:rPr>
                <w:rFonts w:ascii="Times New Roman" w:hAnsi="Times New Roman" w:cs="Times New Roman"/>
              </w:rPr>
              <w:t>availability</w:t>
            </w:r>
            <w:proofErr w:type="spellEnd"/>
            <w:r w:rsidRPr="008109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Active-Active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Active-Standby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Clustering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L2 функціонал та мережеві служби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грегація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портів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(802.3ad)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VLAN (802.1Q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Trunking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будований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DHCP, NTP, DNS-сервера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NAT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статичний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NAT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инамічний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NAT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PAT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1092A">
              <w:rPr>
                <w:rFonts w:ascii="Times New Roman" w:hAnsi="Times New Roman" w:cs="Times New Roman"/>
              </w:rPr>
              <w:t>Multicast</w:t>
            </w:r>
            <w:proofErr w:type="spellEnd"/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parse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dense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режим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PIM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Сервіси безпеки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Stateful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Firewall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дентифікація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контроль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застосувань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(AC/AVC)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загроз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сигнатурного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аналізу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(IPS)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malware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Antivirus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/AMP)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Web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DNS-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фільтрація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- і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сканування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SSL/TLS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загрози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1092A">
              <w:rPr>
                <w:rFonts w:ascii="Times New Roman" w:hAnsi="Times New Roman" w:cs="Times New Roman"/>
              </w:rPr>
              <w:t>Stateful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92A">
              <w:rPr>
                <w:rFonts w:ascii="Times New Roman" w:hAnsi="Times New Roman" w:cs="Times New Roman"/>
              </w:rPr>
              <w:t>Firewall</w:t>
            </w:r>
            <w:proofErr w:type="spellEnd"/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ежими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роботи: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NAT/маршрутизатор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прозорий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режим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VoIP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 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глибока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атак на протокол SIP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иконання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ролі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проксі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аналізу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забезпечення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коректної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роботи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сесій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різних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протоколів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session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helpers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application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layer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gateway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Ідентифікація та контроль застосувань (AC/ AVC)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застосування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мережевого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сигнатурного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аналізу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категорії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application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control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application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visibility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control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конфігурація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користувацького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оточення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AC/AVC-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необхідним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набором сигнатур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конфігурація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виключень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діях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певними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додатками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exemption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override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створення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користувацьких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сигнатур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додатків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Захист від загроз на основі сигнатурного аналізу (IPS)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застосування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мережевого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сигнатурного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аналізу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виявлення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відомих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атак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intrusion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prevention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system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конфігурація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користувацького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оточення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IPS-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сенсорів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необхідним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набором сигнатур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конфігурація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виключень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діях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певними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сигнатурами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exemption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override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 xml:space="preserve">Захист від </w:t>
            </w:r>
            <w:proofErr w:type="spellStart"/>
            <w:r w:rsidRPr="0081092A">
              <w:rPr>
                <w:rFonts w:ascii="Times New Roman" w:hAnsi="Times New Roman" w:cs="Times New Roman"/>
              </w:rPr>
              <w:t>malware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092A">
              <w:rPr>
                <w:rFonts w:ascii="Times New Roman" w:hAnsi="Times New Roman" w:cs="Times New Roman"/>
              </w:rPr>
              <w:t>Antivirus</w:t>
            </w:r>
            <w:proofErr w:type="spellEnd"/>
            <w:r w:rsidRPr="0081092A">
              <w:rPr>
                <w:rFonts w:ascii="Times New Roman" w:hAnsi="Times New Roman" w:cs="Times New Roman"/>
              </w:rPr>
              <w:t>/AMP)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Anti-Virus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/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Anti-malware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виявлення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блокування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небажаних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файлів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grayware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виявлення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блокування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файлів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налаштованих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порогових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значень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їх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розміру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різних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протоколів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 xml:space="preserve"> 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зловмисних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мобільних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пристроїв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1092A">
              <w:rPr>
                <w:rFonts w:ascii="Times New Roman" w:hAnsi="Times New Roman" w:cs="Times New Roman"/>
              </w:rPr>
              <w:t>Web</w:t>
            </w:r>
            <w:proofErr w:type="spellEnd"/>
            <w:r w:rsidRPr="0081092A">
              <w:rPr>
                <w:rFonts w:ascii="Times New Roman" w:hAnsi="Times New Roman" w:cs="Times New Roman"/>
              </w:rPr>
              <w:t xml:space="preserve"> та DNS-фільтрація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URL-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запитів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можливість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блокування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їх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відношення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категорії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Web-фільтрація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- і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запитів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DNS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можливість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блокування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їх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відношення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категорії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(DNS-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фільтрація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виявлення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блокування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доступу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Botnet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мереж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блокування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небезпечних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елементів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web-сайтів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Java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Applet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ActiveX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scripts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тощо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статичні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blacklists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whitelists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SSL/TLS-інспекція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перехоплення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розшифрування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HTTPS, IMAPS, POP3S, SMTPS, FTPS-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сесій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конфігурація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виключень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SSL/TLS-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IP-адрес, URL,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тощо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exemption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override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SSL/TLS-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сертифікату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відповідність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певному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web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-ресурсу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здійснюється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підключення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строку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дійсності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(SSL/TLS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сertificate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іnspection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повноцінне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контенту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зашифрованих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сесій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full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SSL/TLS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іnspection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інспектування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SSL/TLS-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має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включати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наступні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інспекції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: IPS, AC/AVC, AV/AMP,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Web-фильтрацію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DLP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1092A">
              <w:rPr>
                <w:rFonts w:ascii="Times New Roman" w:hAnsi="Times New Roman" w:cs="Times New Roman"/>
              </w:rPr>
              <w:t>QoS</w:t>
            </w:r>
            <w:proofErr w:type="spellEnd"/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Traffic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Shaping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Traffic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Policing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Маршрутизація та SD-WAN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татична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маршрутизація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маршрутизація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політиках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(PBR)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динамічні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протоколи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маршрутизації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: RIP v1/v2, OSPF v2/v3, IS-IS, BGP4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логічного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SD-WAN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інтерфейсу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шляхом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об’єднання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фізичних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логічних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інтерфейсів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різнотипними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підключеннями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(MPLS,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broadband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Internet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LTE,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тощо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оцінка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якості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зв'язку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SD-WAN шляхом </w:t>
            </w:r>
            <w:proofErr w:type="spellStart"/>
            <w:proofErr w:type="gram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відправлення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пакетів</w:t>
            </w:r>
            <w:proofErr w:type="spellEnd"/>
            <w:proofErr w:type="gram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запитів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певних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вузлів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мережі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контроль характеристики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зв'язку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режимі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реального часу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packet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loss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jitter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latancy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їх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графічне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відображення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gui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real-time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monitor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визначення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SLA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користувацьких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applications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використанням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характеристик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зв'язку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packet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loss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jitter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latancy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визначення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різнопланових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стратегій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вибору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зв'язку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маршрутизації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виходячи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критеріїв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відповідності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SLA,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кращих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значень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характеристик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зв'язку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тощо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визначення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правил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маршрутизації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трафіку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канали SD-WAN 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урахуванням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стратегій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SLA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автоматичне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балансування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навантаження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переключення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і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резервування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зв’язку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користувацьких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додатків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при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зміні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храктеристик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мережевих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з’єднань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loss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jitter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latancy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в реальному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динамічне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виправлення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втрат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пакетів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відновлювлення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пакетів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помилками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викликан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несприятливими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умовами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WAN-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 роботи через VPN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Forward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Error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Correction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балансування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пакетів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однієї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сесії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два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IPSec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VPN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тунеля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"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per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packet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"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балансування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Автентифікація, авторизація та облік (AAA)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локальна база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даних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користувачів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протоколів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LDAP, RADIUS, TACACS+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proofErr w:type="gram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2</w:t>
            </w:r>
            <w:proofErr w:type="gram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-факторної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автентифікації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two-factor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authentication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)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токенів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ніж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токени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встановлення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мобільні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пристрої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смартфони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Single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Sign-On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інтеграція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Windows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AD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KI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сертифікати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: X.509, SCEP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support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створення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Certificate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Signing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Request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(CSR),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автоматичне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поновлення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сертифікатів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закінчення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терміну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OCSP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Керування, звітність, інтеграція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графічний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веб-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Web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GUI)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командного рядка (CLI)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централізованої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системи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керування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ролевий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доступ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адміністраторів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(RBAC)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REST API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ц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ентралізоване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ведення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журналів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звітності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logging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and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reporting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функціонал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запису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пакетів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мережевих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інтерфейсів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подальшого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їх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аналізу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packet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capture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функціонал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резервного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копіювання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відновлення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файлів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конфігурації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SNMP v1, v2, v3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sFlow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v5/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Netflow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v9,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syslog</w:t>
            </w:r>
            <w:proofErr w:type="spellEnd"/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Програмне забезпечення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81092A">
              <w:rPr>
                <w:rFonts w:ascii="Times New Roman" w:hAnsi="Times New Roman" w:cs="Times New Roman"/>
                <w:lang w:val="en-US"/>
              </w:rPr>
              <w:t>FortiCare</w:t>
            </w:r>
            <w:proofErr w:type="spellEnd"/>
            <w:r w:rsidRPr="0081092A">
              <w:rPr>
                <w:rFonts w:ascii="Times New Roman" w:hAnsi="Times New Roman" w:cs="Times New Roman"/>
                <w:lang w:val="en-US"/>
              </w:rPr>
              <w:t xml:space="preserve"> Premium and </w:t>
            </w:r>
            <w:proofErr w:type="spellStart"/>
            <w:r w:rsidRPr="0081092A">
              <w:rPr>
                <w:rFonts w:ascii="Times New Roman" w:hAnsi="Times New Roman" w:cs="Times New Roman"/>
                <w:lang w:val="en-US"/>
              </w:rPr>
              <w:t>FortiGuard</w:t>
            </w:r>
            <w:proofErr w:type="spellEnd"/>
            <w:r w:rsidRPr="0081092A">
              <w:rPr>
                <w:rFonts w:ascii="Times New Roman" w:hAnsi="Times New Roman" w:cs="Times New Roman"/>
                <w:lang w:val="en-US"/>
              </w:rPr>
              <w:t xml:space="preserve"> Unified Threat Protection (UTP) </w:t>
            </w:r>
            <w:r w:rsidRPr="0081092A">
              <w:rPr>
                <w:rFonts w:ascii="Times New Roman" w:hAnsi="Times New Roman" w:cs="Times New Roman"/>
              </w:rPr>
              <w:t>або аналог строком на 1(один рік)</w:t>
            </w:r>
          </w:p>
        </w:tc>
      </w:tr>
      <w:tr w:rsidR="00D81160" w:rsidRPr="00E64E53" w:rsidTr="00D81160">
        <w:trPr>
          <w:trHeight w:val="194"/>
        </w:trPr>
        <w:tc>
          <w:tcPr>
            <w:tcW w:w="151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D81160" w:rsidRPr="009241A9" w:rsidRDefault="00D81160" w:rsidP="001749A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t>Технічна сервісна підтримка</w:t>
            </w:r>
          </w:p>
        </w:tc>
        <w:tc>
          <w:tcPr>
            <w:tcW w:w="581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обладнання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повинне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забезпечуватись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технічною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сервісною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підтримкою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строком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12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місяців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рівнем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24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години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7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днів на тиждень;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постійний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доступ до центру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технічної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виробника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сайт,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електронною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поштою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або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 телефоном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24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години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7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днів на тиждень;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постійний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авторизований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доступ до сайту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виробника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24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години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7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днів на тиждень;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тримання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актуальних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репутаційних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баз, сигнатур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захисту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всіх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необхідних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оновлень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безпеки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тримання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основних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проміжних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релізів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програмного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забезпечення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через сайт,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кодів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актуальному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стані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відповідно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до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рекомендацій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виробника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можливість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реєстрації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випадків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режимі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– 24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години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7днів на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тиждень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365 днів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доставку і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заміну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запасних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частин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у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режимі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Next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Business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Day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м.Київ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обладнання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заміни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доставляється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наступного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дня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після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підтвердження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заміни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сервісом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підтримки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виробника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</w:p>
        </w:tc>
      </w:tr>
      <w:tr w:rsidR="00D81160" w:rsidRPr="009241A9" w:rsidTr="00D81160">
        <w:trPr>
          <w:trHeight w:val="1270"/>
        </w:trPr>
        <w:tc>
          <w:tcPr>
            <w:tcW w:w="3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rPr>
                <w:rFonts w:ascii="Times New Roman" w:hAnsi="Times New Roman" w:cs="Times New Roman"/>
              </w:rPr>
            </w:pPr>
            <w:r w:rsidRPr="0081092A">
              <w:rPr>
                <w:rFonts w:ascii="Times New Roman" w:hAnsi="Times New Roman" w:cs="Times New Roman"/>
              </w:rPr>
              <w:lastRenderedPageBreak/>
              <w:t xml:space="preserve">Гарантійні зобов’язання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81160" w:rsidRPr="0081092A" w:rsidRDefault="00D81160" w:rsidP="001749A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Термін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гарантії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не менше </w:t>
            </w: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12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місяців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дати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підписання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сторонами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видаткової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накладної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 отримання:</w:t>
            </w:r>
          </w:p>
          <w:p w:rsidR="00D81160" w:rsidRPr="0081092A" w:rsidRDefault="00D81160" w:rsidP="00D8116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мережевих екранів, </w:t>
            </w:r>
          </w:p>
          <w:p w:rsidR="00D81160" w:rsidRPr="0081092A" w:rsidRDefault="00D81160" w:rsidP="001749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-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програмного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забезпечення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після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його</w:t>
            </w:r>
            <w:proofErr w:type="spellEnd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10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налаштування</w:t>
            </w:r>
            <w:proofErr w:type="spellEnd"/>
          </w:p>
        </w:tc>
      </w:tr>
    </w:tbl>
    <w:p w:rsidR="00D81160" w:rsidRDefault="00D81160" w:rsidP="00D81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81160" w:rsidRPr="004C38DB" w:rsidRDefault="00D81160" w:rsidP="00D8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8DB">
        <w:rPr>
          <w:rFonts w:ascii="Times New Roman" w:eastAsia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  <w:r w:rsidRPr="004C38DB">
        <w:rPr>
          <w:rFonts w:ascii="Times New Roman" w:hAnsi="Times New Roman" w:cs="Times New Roman"/>
          <w:sz w:val="24"/>
          <w:szCs w:val="24"/>
        </w:rPr>
        <w:t xml:space="preserve"> Товар постачається в упаковці та з маркуванням виробника.</w:t>
      </w:r>
    </w:p>
    <w:p w:rsidR="00D81160" w:rsidRPr="002169A7" w:rsidRDefault="00D81160" w:rsidP="00D81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1160" w:rsidRPr="002A35EE" w:rsidRDefault="00D81160" w:rsidP="00D811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</w:t>
      </w:r>
      <w:r>
        <w:rPr>
          <w:rFonts w:ascii="Times New Roman" w:hAnsi="Times New Roman"/>
          <w:sz w:val="24"/>
          <w:szCs w:val="24"/>
          <w:lang w:eastAsia="ar-SA"/>
        </w:rPr>
        <w:t xml:space="preserve"> 160 000,00</w:t>
      </w:r>
      <w:r w:rsidRPr="002169A7">
        <w:rPr>
          <w:rFonts w:ascii="Times New Roman" w:hAnsi="Times New Roman"/>
          <w:sz w:val="24"/>
          <w:szCs w:val="24"/>
          <w:lang w:eastAsia="ar-SA"/>
        </w:rPr>
        <w:t xml:space="preserve">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D81160"/>
    <w:sectPr w:rsidR="004847EC" w:rsidSect="00D8116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A217C"/>
    <w:multiLevelType w:val="hybridMultilevel"/>
    <w:tmpl w:val="150E2A1C"/>
    <w:lvl w:ilvl="0" w:tplc="709A2EF0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60"/>
    <w:rsid w:val="00002D5B"/>
    <w:rsid w:val="00C20036"/>
    <w:rsid w:val="00D8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311EE-A975-49C4-8754-2F71FFEA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160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D8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6161</Words>
  <Characters>3513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2026-03-23T06:55:00Z</dcterms:created>
  <dcterms:modified xsi:type="dcterms:W3CDTF">2026-03-23T06:56:00Z</dcterms:modified>
</cp:coreProperties>
</file>